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B91E" w14:textId="3A133235" w:rsidR="00A64594" w:rsidRDefault="00761BCC" w:rsidP="00A64594">
      <w:pPr>
        <w:rPr>
          <w:i/>
          <w:iCs/>
          <w:lang w:val="en-US"/>
        </w:rPr>
      </w:pPr>
      <w:r>
        <w:rPr>
          <w:noProof/>
          <w:sz w:val="14"/>
          <w:szCs w:val="14"/>
          <w:lang w:eastAsia="en-GB"/>
        </w:rPr>
        <w:drawing>
          <wp:anchor distT="0" distB="0" distL="114300" distR="114300" simplePos="0" relativeHeight="251659264" behindDoc="0" locked="0" layoutInCell="1" allowOverlap="1" wp14:anchorId="66FA4A3C" wp14:editId="335721D9">
            <wp:simplePos x="0" y="0"/>
            <wp:positionH relativeFrom="margin">
              <wp:posOffset>1182370</wp:posOffset>
            </wp:positionH>
            <wp:positionV relativeFrom="paragraph">
              <wp:posOffset>2811220</wp:posOffset>
            </wp:positionV>
            <wp:extent cx="4003675" cy="1717040"/>
            <wp:effectExtent l="0" t="0" r="0" b="0"/>
            <wp:wrapNone/>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4003675"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F72">
        <w:rPr>
          <w:i/>
          <w:iCs/>
          <w:noProof/>
          <w:lang w:eastAsia="en-GB"/>
        </w:rPr>
        <mc:AlternateContent>
          <mc:Choice Requires="wps">
            <w:drawing>
              <wp:anchor distT="45720" distB="45720" distL="114300" distR="114300" simplePos="0" relativeHeight="251661312" behindDoc="0" locked="0" layoutInCell="1" allowOverlap="1" wp14:anchorId="0B3DFBB5" wp14:editId="0D79E2D0">
                <wp:simplePos x="0" y="0"/>
                <wp:positionH relativeFrom="margin">
                  <wp:posOffset>59055</wp:posOffset>
                </wp:positionH>
                <wp:positionV relativeFrom="paragraph">
                  <wp:posOffset>5169610</wp:posOffset>
                </wp:positionV>
                <wp:extent cx="6352540" cy="321818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218180"/>
                        </a:xfrm>
                        <a:prstGeom prst="rect">
                          <a:avLst/>
                        </a:prstGeom>
                        <a:solidFill>
                          <a:srgbClr val="FFFFFF"/>
                        </a:solidFill>
                        <a:ln w="9525">
                          <a:noFill/>
                          <a:miter lim="800000"/>
                          <a:headEnd/>
                          <a:tailEnd/>
                        </a:ln>
                      </wps:spPr>
                      <wps:txbx>
                        <w:txbxContent>
                          <w:p w14:paraId="772FD56A" w14:textId="45192FDD" w:rsidR="00A64594" w:rsidRDefault="00A64594" w:rsidP="00A64594">
                            <w:pPr>
                              <w:jc w:val="center"/>
                              <w:rPr>
                                <w:rFonts w:eastAsiaTheme="majorEastAsia" w:cstheme="minorHAnsi"/>
                                <w:b/>
                                <w:sz w:val="36"/>
                                <w:szCs w:val="88"/>
                              </w:rPr>
                            </w:pPr>
                            <w:r>
                              <w:rPr>
                                <w:rFonts w:eastAsiaTheme="majorEastAsia" w:cstheme="minorHAnsi"/>
                                <w:b/>
                                <w:sz w:val="36"/>
                                <w:szCs w:val="88"/>
                              </w:rPr>
                              <w:t>Input</w:t>
                            </w:r>
                            <w:r w:rsidRPr="000F795A">
                              <w:rPr>
                                <w:rFonts w:eastAsiaTheme="majorEastAsia" w:cstheme="minorHAnsi"/>
                                <w:b/>
                                <w:sz w:val="36"/>
                                <w:szCs w:val="88"/>
                              </w:rPr>
                              <w:t xml:space="preserve"> of the UN Special Rapporteur on the promotion and protection of human rights and fundamental freedoms </w:t>
                            </w:r>
                            <w:r w:rsidR="007625B6">
                              <w:rPr>
                                <w:rFonts w:eastAsiaTheme="majorEastAsia" w:cstheme="minorHAnsi"/>
                                <w:b/>
                                <w:sz w:val="36"/>
                                <w:szCs w:val="88"/>
                              </w:rPr>
                              <w:t xml:space="preserve">while countering terrorism </w:t>
                            </w:r>
                            <w:r>
                              <w:rPr>
                                <w:rFonts w:eastAsiaTheme="majorEastAsia" w:cstheme="minorHAnsi"/>
                                <w:b/>
                                <w:sz w:val="36"/>
                                <w:szCs w:val="88"/>
                              </w:rPr>
                              <w:t>to the Facebook Oversight Board</w:t>
                            </w:r>
                            <w:r w:rsidR="00761BCC">
                              <w:rPr>
                                <w:rFonts w:eastAsiaTheme="majorEastAsia" w:cstheme="minorHAnsi"/>
                                <w:b/>
                                <w:sz w:val="36"/>
                                <w:szCs w:val="88"/>
                              </w:rPr>
                              <w:t xml:space="preserve"> Concerning its </w:t>
                            </w:r>
                            <w:r w:rsidR="003A6D6E">
                              <w:rPr>
                                <w:rFonts w:eastAsiaTheme="majorEastAsia" w:cstheme="minorHAnsi"/>
                                <w:b/>
                                <w:sz w:val="36"/>
                                <w:szCs w:val="88"/>
                              </w:rPr>
                              <w:t xml:space="preserve">“Community Guidelines” and </w:t>
                            </w:r>
                            <w:r w:rsidR="00761BCC">
                              <w:rPr>
                                <w:rFonts w:eastAsiaTheme="majorEastAsia" w:cstheme="minorHAnsi"/>
                                <w:b/>
                                <w:sz w:val="36"/>
                                <w:szCs w:val="88"/>
                              </w:rPr>
                              <w:t xml:space="preserve">“Community </w:t>
                            </w:r>
                            <w:r w:rsidR="003A6D6E">
                              <w:rPr>
                                <w:rFonts w:eastAsiaTheme="majorEastAsia" w:cstheme="minorHAnsi"/>
                                <w:b/>
                                <w:sz w:val="36"/>
                                <w:szCs w:val="88"/>
                              </w:rPr>
                              <w:t xml:space="preserve">Standard </w:t>
                            </w:r>
                            <w:r w:rsidR="00761BCC">
                              <w:rPr>
                                <w:rFonts w:eastAsiaTheme="majorEastAsia" w:cstheme="minorHAnsi"/>
                                <w:b/>
                                <w:sz w:val="36"/>
                                <w:szCs w:val="88"/>
                              </w:rPr>
                              <w:t xml:space="preserve">on Dangerous Individuals and </w:t>
                            </w:r>
                            <w:proofErr w:type="gramStart"/>
                            <w:r w:rsidR="00761BCC">
                              <w:rPr>
                                <w:rFonts w:eastAsiaTheme="majorEastAsia" w:cstheme="minorHAnsi"/>
                                <w:b/>
                                <w:sz w:val="36"/>
                                <w:szCs w:val="88"/>
                              </w:rPr>
                              <w:t>Organizations”</w:t>
                            </w:r>
                            <w:proofErr w:type="gramEnd"/>
                          </w:p>
                          <w:p w14:paraId="01EFF5F8" w14:textId="6EEBE080" w:rsidR="00761BCC" w:rsidRDefault="00761BCC" w:rsidP="00A64594">
                            <w:pPr>
                              <w:jc w:val="center"/>
                              <w:rPr>
                                <w:rFonts w:eastAsiaTheme="majorEastAsia" w:cstheme="minorHAnsi"/>
                                <w:b/>
                                <w:sz w:val="36"/>
                                <w:szCs w:val="88"/>
                              </w:rPr>
                            </w:pPr>
                          </w:p>
                          <w:p w14:paraId="6A1071DA" w14:textId="77777777" w:rsidR="00761BCC" w:rsidRDefault="00761BCC" w:rsidP="00761BCC">
                            <w:pPr>
                              <w:rPr>
                                <w:rFonts w:eastAsiaTheme="majorEastAsia" w:cstheme="minorHAnsi"/>
                                <w:b/>
                                <w:sz w:val="36"/>
                                <w:szCs w:val="88"/>
                              </w:rPr>
                            </w:pPr>
                          </w:p>
                          <w:p w14:paraId="011B3328" w14:textId="77777777" w:rsidR="00A64594" w:rsidRDefault="00A64594" w:rsidP="00A64594">
                            <w:pPr>
                              <w:jc w:val="center"/>
                              <w:rPr>
                                <w:rFonts w:eastAsiaTheme="majorEastAsia" w:cstheme="minorHAnsi"/>
                                <w:b/>
                                <w:sz w:val="36"/>
                                <w:szCs w:val="88"/>
                              </w:rPr>
                            </w:pPr>
                          </w:p>
                          <w:p w14:paraId="0B862B86" w14:textId="77777777" w:rsidR="00A64594" w:rsidRDefault="00A64594" w:rsidP="00A64594">
                            <w:pPr>
                              <w:jc w:val="center"/>
                              <w:rPr>
                                <w:rFonts w:eastAsiaTheme="majorEastAsia" w:cstheme="minorHAnsi"/>
                                <w:b/>
                                <w:sz w:val="36"/>
                                <w:szCs w:val="88"/>
                              </w:rPr>
                            </w:pPr>
                            <w:r>
                              <w:rPr>
                                <w:rFonts w:eastAsiaTheme="majorEastAsia" w:cstheme="minorHAnsi"/>
                                <w:b/>
                                <w:sz w:val="36"/>
                                <w:szCs w:val="88"/>
                              </w:rPr>
                              <w:t>Prof. Fionnuala Ní Aoláin</w:t>
                            </w:r>
                          </w:p>
                          <w:p w14:paraId="35406AAE" w14:textId="77777777" w:rsidR="00A64594" w:rsidRDefault="00A64594" w:rsidP="00A64594">
                            <w:pPr>
                              <w:jc w:val="center"/>
                              <w:rPr>
                                <w:rFonts w:eastAsiaTheme="majorEastAsia" w:cstheme="minorHAnsi"/>
                                <w:b/>
                                <w:sz w:val="36"/>
                                <w:szCs w:val="88"/>
                              </w:rPr>
                            </w:pPr>
                          </w:p>
                          <w:p w14:paraId="034960A1" w14:textId="77777777" w:rsidR="00A64594" w:rsidRDefault="00A64594" w:rsidP="00A64594">
                            <w:pPr>
                              <w:jc w:val="center"/>
                              <w:rPr>
                                <w:rFonts w:eastAsiaTheme="majorEastAsia" w:cstheme="minorHAnsi"/>
                                <w:b/>
                                <w:sz w:val="36"/>
                                <w:szCs w:val="88"/>
                              </w:rPr>
                            </w:pPr>
                          </w:p>
                          <w:p w14:paraId="310CC04A" w14:textId="7168314B" w:rsidR="00A64594" w:rsidRDefault="00A64594" w:rsidP="00A64594">
                            <w:pPr>
                              <w:jc w:val="center"/>
                              <w:rPr>
                                <w:rFonts w:eastAsiaTheme="majorEastAsia" w:cstheme="minorHAnsi"/>
                                <w:b/>
                                <w:sz w:val="36"/>
                                <w:szCs w:val="88"/>
                              </w:rPr>
                            </w:pPr>
                            <w:r>
                              <w:rPr>
                                <w:rFonts w:eastAsiaTheme="majorEastAsia" w:cstheme="minorHAnsi"/>
                                <w:b/>
                                <w:sz w:val="36"/>
                                <w:szCs w:val="88"/>
                              </w:rPr>
                              <w:t>May 2021</w:t>
                            </w:r>
                          </w:p>
                          <w:p w14:paraId="5139B721" w14:textId="77777777" w:rsidR="00A64594" w:rsidRDefault="00A64594" w:rsidP="00A64594">
                            <w:pPr>
                              <w:jc w:val="center"/>
                              <w:rPr>
                                <w:rFonts w:eastAsiaTheme="majorEastAsia" w:cstheme="minorHAnsi"/>
                                <w:b/>
                                <w:sz w:val="36"/>
                                <w:szCs w:val="88"/>
                              </w:rPr>
                            </w:pPr>
                          </w:p>
                          <w:p w14:paraId="2E3356D3" w14:textId="77777777" w:rsidR="00A64594" w:rsidRPr="00681F72" w:rsidRDefault="00A64594" w:rsidP="00A64594">
                            <w:pPr>
                              <w:jc w:val="center"/>
                              <w:rPr>
                                <w:rFonts w:cstheme="minorHAnsi"/>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DFBB5" id="_x0000_t202" coordsize="21600,21600" o:spt="202" path="m,l,21600r21600,l21600,xe">
                <v:stroke joinstyle="miter"/>
                <v:path gradientshapeok="t" o:connecttype="rect"/>
              </v:shapetype>
              <v:shape id="Text Box 2" o:spid="_x0000_s1026" type="#_x0000_t202" style="position:absolute;margin-left:4.65pt;margin-top:407.05pt;width:500.2pt;height:253.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" stroked="f">
                <v:textbox>
                  <w:txbxContent>
                    <w:p w14:paraId="772FD56A" w14:textId="45192FDD" w:rsidR="00A64594" w:rsidRDefault="00A64594" w:rsidP="00A64594">
                      <w:pPr>
                        <w:jc w:val="center"/>
                        <w:rPr>
                          <w:rFonts w:eastAsiaTheme="majorEastAsia" w:cstheme="minorHAnsi"/>
                          <w:b/>
                          <w:sz w:val="36"/>
                          <w:szCs w:val="88"/>
                        </w:rPr>
                      </w:pPr>
                      <w:r>
                        <w:rPr>
                          <w:rFonts w:eastAsiaTheme="majorEastAsia" w:cstheme="minorHAnsi"/>
                          <w:b/>
                          <w:sz w:val="36"/>
                          <w:szCs w:val="88"/>
                        </w:rPr>
                        <w:t>Input</w:t>
                      </w:r>
                      <w:r w:rsidRPr="000F795A">
                        <w:rPr>
                          <w:rFonts w:eastAsiaTheme="majorEastAsia" w:cstheme="minorHAnsi"/>
                          <w:b/>
                          <w:sz w:val="36"/>
                          <w:szCs w:val="88"/>
                        </w:rPr>
                        <w:t xml:space="preserve"> of the UN Special Rapporteur on the promotion and protection of human rights and fundamental freedoms </w:t>
                      </w:r>
                      <w:r w:rsidR="007625B6">
                        <w:rPr>
                          <w:rFonts w:eastAsiaTheme="majorEastAsia" w:cstheme="minorHAnsi"/>
                          <w:b/>
                          <w:sz w:val="36"/>
                          <w:szCs w:val="88"/>
                        </w:rPr>
                        <w:t xml:space="preserve">while countering terrorism </w:t>
                      </w:r>
                      <w:r>
                        <w:rPr>
                          <w:rFonts w:eastAsiaTheme="majorEastAsia" w:cstheme="minorHAnsi"/>
                          <w:b/>
                          <w:sz w:val="36"/>
                          <w:szCs w:val="88"/>
                        </w:rPr>
                        <w:t>to the Facebook Oversight Board</w:t>
                      </w:r>
                      <w:r w:rsidR="00761BCC">
                        <w:rPr>
                          <w:rFonts w:eastAsiaTheme="majorEastAsia" w:cstheme="minorHAnsi"/>
                          <w:b/>
                          <w:sz w:val="36"/>
                          <w:szCs w:val="88"/>
                        </w:rPr>
                        <w:t xml:space="preserve"> Concerning its </w:t>
                      </w:r>
                      <w:r w:rsidR="003A6D6E">
                        <w:rPr>
                          <w:rFonts w:eastAsiaTheme="majorEastAsia" w:cstheme="minorHAnsi"/>
                          <w:b/>
                          <w:sz w:val="36"/>
                          <w:szCs w:val="88"/>
                        </w:rPr>
                        <w:t xml:space="preserve">“Community Guidelines” and </w:t>
                      </w:r>
                      <w:r w:rsidR="00761BCC">
                        <w:rPr>
                          <w:rFonts w:eastAsiaTheme="majorEastAsia" w:cstheme="minorHAnsi"/>
                          <w:b/>
                          <w:sz w:val="36"/>
                          <w:szCs w:val="88"/>
                        </w:rPr>
                        <w:t xml:space="preserve">“Community </w:t>
                      </w:r>
                      <w:r w:rsidR="003A6D6E">
                        <w:rPr>
                          <w:rFonts w:eastAsiaTheme="majorEastAsia" w:cstheme="minorHAnsi"/>
                          <w:b/>
                          <w:sz w:val="36"/>
                          <w:szCs w:val="88"/>
                        </w:rPr>
                        <w:t xml:space="preserve">Standard </w:t>
                      </w:r>
                      <w:r w:rsidR="00761BCC">
                        <w:rPr>
                          <w:rFonts w:eastAsiaTheme="majorEastAsia" w:cstheme="minorHAnsi"/>
                          <w:b/>
                          <w:sz w:val="36"/>
                          <w:szCs w:val="88"/>
                        </w:rPr>
                        <w:t xml:space="preserve">on Dangerous Individuals and </w:t>
                      </w:r>
                      <w:proofErr w:type="gramStart"/>
                      <w:r w:rsidR="00761BCC">
                        <w:rPr>
                          <w:rFonts w:eastAsiaTheme="majorEastAsia" w:cstheme="minorHAnsi"/>
                          <w:b/>
                          <w:sz w:val="36"/>
                          <w:szCs w:val="88"/>
                        </w:rPr>
                        <w:t>Organizations”</w:t>
                      </w:r>
                      <w:proofErr w:type="gramEnd"/>
                    </w:p>
                    <w:p w14:paraId="01EFF5F8" w14:textId="6EEBE080" w:rsidR="00761BCC" w:rsidRDefault="00761BCC" w:rsidP="00A64594">
                      <w:pPr>
                        <w:jc w:val="center"/>
                        <w:rPr>
                          <w:rFonts w:eastAsiaTheme="majorEastAsia" w:cstheme="minorHAnsi"/>
                          <w:b/>
                          <w:sz w:val="36"/>
                          <w:szCs w:val="88"/>
                        </w:rPr>
                      </w:pPr>
                    </w:p>
                    <w:p w14:paraId="6A1071DA" w14:textId="77777777" w:rsidR="00761BCC" w:rsidRDefault="00761BCC" w:rsidP="00761BCC">
                      <w:pPr>
                        <w:rPr>
                          <w:rFonts w:eastAsiaTheme="majorEastAsia" w:cstheme="minorHAnsi"/>
                          <w:b/>
                          <w:sz w:val="36"/>
                          <w:szCs w:val="88"/>
                        </w:rPr>
                      </w:pPr>
                    </w:p>
                    <w:p w14:paraId="011B3328" w14:textId="77777777" w:rsidR="00A64594" w:rsidRDefault="00A64594" w:rsidP="00A64594">
                      <w:pPr>
                        <w:jc w:val="center"/>
                        <w:rPr>
                          <w:rFonts w:eastAsiaTheme="majorEastAsia" w:cstheme="minorHAnsi"/>
                          <w:b/>
                          <w:sz w:val="36"/>
                          <w:szCs w:val="88"/>
                        </w:rPr>
                      </w:pPr>
                    </w:p>
                    <w:p w14:paraId="0B862B86" w14:textId="77777777" w:rsidR="00A64594" w:rsidRDefault="00A64594" w:rsidP="00A64594">
                      <w:pPr>
                        <w:jc w:val="center"/>
                        <w:rPr>
                          <w:rFonts w:eastAsiaTheme="majorEastAsia" w:cstheme="minorHAnsi"/>
                          <w:b/>
                          <w:sz w:val="36"/>
                          <w:szCs w:val="88"/>
                        </w:rPr>
                      </w:pPr>
                      <w:r>
                        <w:rPr>
                          <w:rFonts w:eastAsiaTheme="majorEastAsia" w:cstheme="minorHAnsi"/>
                          <w:b/>
                          <w:sz w:val="36"/>
                          <w:szCs w:val="88"/>
                        </w:rPr>
                        <w:t>Prof. Fionnuala Ní Aoláin</w:t>
                      </w:r>
                    </w:p>
                    <w:p w14:paraId="35406AAE" w14:textId="77777777" w:rsidR="00A64594" w:rsidRDefault="00A64594" w:rsidP="00A64594">
                      <w:pPr>
                        <w:jc w:val="center"/>
                        <w:rPr>
                          <w:rFonts w:eastAsiaTheme="majorEastAsia" w:cstheme="minorHAnsi"/>
                          <w:b/>
                          <w:sz w:val="36"/>
                          <w:szCs w:val="88"/>
                        </w:rPr>
                      </w:pPr>
                    </w:p>
                    <w:p w14:paraId="034960A1" w14:textId="77777777" w:rsidR="00A64594" w:rsidRDefault="00A64594" w:rsidP="00A64594">
                      <w:pPr>
                        <w:jc w:val="center"/>
                        <w:rPr>
                          <w:rFonts w:eastAsiaTheme="majorEastAsia" w:cstheme="minorHAnsi"/>
                          <w:b/>
                          <w:sz w:val="36"/>
                          <w:szCs w:val="88"/>
                        </w:rPr>
                      </w:pPr>
                    </w:p>
                    <w:p w14:paraId="310CC04A" w14:textId="7168314B" w:rsidR="00A64594" w:rsidRDefault="00A64594" w:rsidP="00A64594">
                      <w:pPr>
                        <w:jc w:val="center"/>
                        <w:rPr>
                          <w:rFonts w:eastAsiaTheme="majorEastAsia" w:cstheme="minorHAnsi"/>
                          <w:b/>
                          <w:sz w:val="36"/>
                          <w:szCs w:val="88"/>
                        </w:rPr>
                      </w:pPr>
                      <w:r>
                        <w:rPr>
                          <w:rFonts w:eastAsiaTheme="majorEastAsia" w:cstheme="minorHAnsi"/>
                          <w:b/>
                          <w:sz w:val="36"/>
                          <w:szCs w:val="88"/>
                        </w:rPr>
                        <w:t>May 2021</w:t>
                      </w:r>
                    </w:p>
                    <w:p w14:paraId="5139B721" w14:textId="77777777" w:rsidR="00A64594" w:rsidRDefault="00A64594" w:rsidP="00A64594">
                      <w:pPr>
                        <w:jc w:val="center"/>
                        <w:rPr>
                          <w:rFonts w:eastAsiaTheme="majorEastAsia" w:cstheme="minorHAnsi"/>
                          <w:b/>
                          <w:sz w:val="36"/>
                          <w:szCs w:val="88"/>
                        </w:rPr>
                      </w:pPr>
                    </w:p>
                    <w:p w14:paraId="2E3356D3" w14:textId="77777777" w:rsidR="00A64594" w:rsidRPr="00681F72" w:rsidRDefault="00A64594" w:rsidP="00A64594">
                      <w:pPr>
                        <w:jc w:val="center"/>
                        <w:rPr>
                          <w:rFonts w:cstheme="minorHAnsi"/>
                          <w:b/>
                          <w:sz w:val="36"/>
                        </w:rPr>
                      </w:pPr>
                    </w:p>
                  </w:txbxContent>
                </v:textbox>
                <w10:wrap type="square" anchorx="margin"/>
              </v:shape>
            </w:pict>
          </mc:Fallback>
        </mc:AlternateContent>
      </w:r>
      <w:r w:rsidR="00A64594">
        <w:rPr>
          <w:i/>
          <w:iCs/>
          <w:lang w:val="en-US"/>
        </w:rPr>
        <w:br w:type="page"/>
      </w:r>
    </w:p>
    <w:p w14:paraId="7291F17B" w14:textId="48CE76FC" w:rsidR="00A64594" w:rsidRDefault="00A64594" w:rsidP="00A64594">
      <w:pPr>
        <w:tabs>
          <w:tab w:val="num" w:pos="720"/>
        </w:tabs>
        <w:ind w:left="984" w:hanging="360"/>
      </w:pPr>
    </w:p>
    <w:p w14:paraId="5D551763" w14:textId="53433ABD" w:rsidR="00A64594" w:rsidRPr="00F93504" w:rsidRDefault="00A64594" w:rsidP="00F93504">
      <w:pPr>
        <w:pStyle w:val="98m5"/>
        <w:numPr>
          <w:ilvl w:val="0"/>
          <w:numId w:val="2"/>
        </w:numPr>
        <w:spacing w:before="0" w:beforeAutospacing="0" w:after="0" w:afterAutospacing="0"/>
        <w:ind w:firstLine="0"/>
        <w:jc w:val="both"/>
        <w:rPr>
          <w:rFonts w:ascii="Helvetica Neue Light" w:hAnsi="Helvetica Neue Light"/>
          <w:color w:val="000000"/>
        </w:rPr>
      </w:pPr>
      <w:r w:rsidRPr="00617E38">
        <w:t>The United Nations Special Rapporteur on the promotion and protection of human rights and fundamental freedoms while countering terrorism established pursuant to Human Rights Council resolution 40/16</w:t>
      </w:r>
      <w:r>
        <w:t xml:space="preserve"> is pleased to </w:t>
      </w:r>
      <w:r w:rsidR="00761BCC">
        <w:t xml:space="preserve">submit views to the Facebook Oversight Board on its </w:t>
      </w:r>
      <w:r w:rsidR="003A6D6E">
        <w:t xml:space="preserve">“Community Guidelines” and </w:t>
      </w:r>
      <w:r w:rsidR="00761BCC">
        <w:t xml:space="preserve">“Community </w:t>
      </w:r>
      <w:r w:rsidR="007625B6">
        <w:t xml:space="preserve">Standard </w:t>
      </w:r>
      <w:proofErr w:type="gramStart"/>
      <w:r w:rsidR="007625B6">
        <w:t xml:space="preserve">on </w:t>
      </w:r>
      <w:r w:rsidR="00761BCC">
        <w:t xml:space="preserve"> Dangerous</w:t>
      </w:r>
      <w:proofErr w:type="gramEnd"/>
      <w:r w:rsidR="00761BCC">
        <w:t xml:space="preserve"> </w:t>
      </w:r>
      <w:r w:rsidR="007625B6">
        <w:t>I</w:t>
      </w:r>
      <w:r w:rsidR="00761BCC">
        <w:t xml:space="preserve">ndividuals and </w:t>
      </w:r>
      <w:r w:rsidR="007625B6">
        <w:t>O</w:t>
      </w:r>
      <w:r w:rsidR="00761BCC">
        <w:t>rganizations.</w:t>
      </w:r>
      <w:r w:rsidR="007625B6">
        <w:t>”</w:t>
      </w:r>
      <w:r>
        <w:t xml:space="preserve"> </w:t>
      </w:r>
    </w:p>
    <w:p w14:paraId="6CB2EE42" w14:textId="77777777" w:rsidR="00F93504" w:rsidRPr="00702E7D" w:rsidRDefault="00F93504" w:rsidP="00F93504">
      <w:pPr>
        <w:pStyle w:val="98m5"/>
        <w:spacing w:before="0" w:beforeAutospacing="0" w:after="0" w:afterAutospacing="0"/>
        <w:ind w:left="984"/>
        <w:jc w:val="both"/>
        <w:rPr>
          <w:rFonts w:ascii="Helvetica Neue Light" w:hAnsi="Helvetica Neue Light"/>
          <w:color w:val="000000"/>
        </w:rPr>
      </w:pPr>
    </w:p>
    <w:p w14:paraId="2200AD42" w14:textId="33342DC9" w:rsidR="00702E7D" w:rsidRDefault="00702E7D" w:rsidP="00F93504">
      <w:pPr>
        <w:pStyle w:val="ListParagraph"/>
        <w:numPr>
          <w:ilvl w:val="0"/>
          <w:numId w:val="2"/>
        </w:numPr>
        <w:ind w:firstLine="0"/>
        <w:contextualSpacing w:val="0"/>
        <w:jc w:val="both"/>
        <w:rPr>
          <w:sz w:val="24"/>
          <w:szCs w:val="24"/>
        </w:rPr>
      </w:pPr>
      <w:r w:rsidRPr="00B86BDE">
        <w:rPr>
          <w:sz w:val="24"/>
          <w:szCs w:val="24"/>
        </w:rPr>
        <w:t>The submission of the</w:t>
      </w:r>
      <w:r>
        <w:rPr>
          <w:sz w:val="24"/>
          <w:szCs w:val="24"/>
        </w:rPr>
        <w:t xml:space="preserve">se views </w:t>
      </w:r>
      <w:r w:rsidRPr="00B86BDE">
        <w:rPr>
          <w:sz w:val="24"/>
          <w:szCs w:val="24"/>
        </w:rPr>
        <w:t>is provided by the Special Rapporteur on a voluntary basis without prejudice to, and should not be considered as, a waiver, express or implied, of any privileges or immunities which the United Nations, its officials or experts on mission</w:t>
      </w:r>
      <w:r w:rsidR="007625B6">
        <w:rPr>
          <w:sz w:val="24"/>
          <w:szCs w:val="24"/>
        </w:rPr>
        <w:t xml:space="preserve"> enjoyed</w:t>
      </w:r>
      <w:r w:rsidRPr="00B86BDE">
        <w:rPr>
          <w:sz w:val="24"/>
          <w:szCs w:val="24"/>
        </w:rPr>
        <w:t xml:space="preserve">, pursuant to </w:t>
      </w:r>
      <w:r w:rsidR="007625B6">
        <w:rPr>
          <w:sz w:val="24"/>
          <w:szCs w:val="24"/>
        </w:rPr>
        <w:t xml:space="preserve">the </w:t>
      </w:r>
      <w:r w:rsidRPr="00B86BDE">
        <w:rPr>
          <w:sz w:val="24"/>
          <w:szCs w:val="24"/>
        </w:rPr>
        <w:t>1946 Convention on the Privileges and Immunities of the United Nations. Authorization for the positions and views expressed by the Special Rapporteur, in full accordance with her independence, was neither sought nor given by the United Nations, including the Human Rights Council or the Office of the High Commissioner for Human Rights, or any of the officials associated with those bodies.</w:t>
      </w:r>
    </w:p>
    <w:p w14:paraId="5ABD5BE9" w14:textId="77777777" w:rsidR="00F93504" w:rsidRPr="00F93504" w:rsidRDefault="00F93504" w:rsidP="00F93504">
      <w:pPr>
        <w:jc w:val="both"/>
      </w:pPr>
    </w:p>
    <w:p w14:paraId="20AB303E" w14:textId="5F316F69" w:rsidR="00002E89" w:rsidRPr="009757E4" w:rsidRDefault="00702E7D" w:rsidP="00F93504">
      <w:pPr>
        <w:pStyle w:val="98m5"/>
        <w:numPr>
          <w:ilvl w:val="0"/>
          <w:numId w:val="2"/>
        </w:numPr>
        <w:spacing w:before="0" w:beforeAutospacing="0" w:after="0" w:afterAutospacing="0"/>
        <w:ind w:left="987" w:firstLine="0"/>
        <w:jc w:val="both"/>
        <w:rPr>
          <w:rFonts w:ascii="Helvetica Neue Light" w:hAnsi="Helvetica Neue Light"/>
          <w:color w:val="000000"/>
        </w:rPr>
      </w:pPr>
      <w:r w:rsidRPr="00617E38">
        <w:t xml:space="preserve">The Special Rapporteur reports regularly to the UN Human Rights Council and General Assembly on the </w:t>
      </w:r>
      <w:r w:rsidR="007625B6">
        <w:t xml:space="preserve">promotion and </w:t>
      </w:r>
      <w:r w:rsidRPr="00617E38">
        <w:t xml:space="preserve">protection of human rights and fundamental freedoms while countering terrorism, countering violent extremism and extremism including broadly related security regulation by </w:t>
      </w:r>
      <w:r w:rsidR="007625B6">
        <w:t>S</w:t>
      </w:r>
      <w:r w:rsidRPr="00617E38">
        <w:t>tates</w:t>
      </w:r>
      <w:r>
        <w:t xml:space="preserve">. </w:t>
      </w:r>
      <w:r w:rsidRPr="00617E38">
        <w:t xml:space="preserve">As a result, the Special Rapporteur is </w:t>
      </w:r>
      <w:proofErr w:type="gramStart"/>
      <w:r w:rsidRPr="00617E38">
        <w:t>in a position</w:t>
      </w:r>
      <w:proofErr w:type="gramEnd"/>
      <w:r w:rsidRPr="00617E38">
        <w:t xml:space="preserve"> to assess the broad human rights implications </w:t>
      </w:r>
      <w:r w:rsidR="007625B6">
        <w:t>of</w:t>
      </w:r>
      <w:r>
        <w:t xml:space="preserve"> the regulatory actions by both State and private entities in the area of terrorism, violent extremism and extremism.</w:t>
      </w:r>
    </w:p>
    <w:p w14:paraId="61B7E02A" w14:textId="77777777" w:rsidR="009757E4" w:rsidRDefault="009757E4" w:rsidP="009757E4">
      <w:pPr>
        <w:pStyle w:val="ListParagraph"/>
        <w:rPr>
          <w:rFonts w:ascii="Helvetica Neue Light" w:hAnsi="Helvetica Neue Light"/>
          <w:color w:val="000000"/>
        </w:rPr>
      </w:pPr>
    </w:p>
    <w:p w14:paraId="3DB8483B" w14:textId="7B359099" w:rsidR="009757E4" w:rsidRDefault="009757E4" w:rsidP="00F93504">
      <w:pPr>
        <w:pStyle w:val="98m5"/>
        <w:numPr>
          <w:ilvl w:val="0"/>
          <w:numId w:val="2"/>
        </w:numPr>
        <w:spacing w:before="0" w:beforeAutospacing="0" w:after="0" w:afterAutospacing="0"/>
        <w:ind w:left="987" w:firstLine="0"/>
        <w:jc w:val="both"/>
        <w:rPr>
          <w:rFonts w:ascii="Helvetica Neue Light" w:hAnsi="Helvetica Neue Light"/>
          <w:color w:val="000000"/>
        </w:rPr>
      </w:pPr>
      <w:r>
        <w:rPr>
          <w:rFonts w:asciiTheme="majorBidi" w:hAnsiTheme="majorBidi" w:cstheme="majorBidi"/>
          <w:color w:val="000000"/>
        </w:rPr>
        <w:t>The Special Rapporteur will share its broad assessments of the guidelines</w:t>
      </w:r>
      <w:r w:rsidR="003B2C30">
        <w:rPr>
          <w:rFonts w:asciiTheme="majorBidi" w:hAnsiTheme="majorBidi" w:cstheme="majorBidi"/>
          <w:color w:val="000000"/>
        </w:rPr>
        <w:t xml:space="preserve"> and standard</w:t>
      </w:r>
      <w:r>
        <w:rPr>
          <w:rFonts w:asciiTheme="majorBidi" w:hAnsiTheme="majorBidi" w:cstheme="majorBidi"/>
          <w:color w:val="000000"/>
        </w:rPr>
        <w:t xml:space="preserve"> used by Facebook but will not make judgement on the specifics of the case, given the potential for conflict of interest should this case be submitted or reviewed by her mandate.</w:t>
      </w:r>
    </w:p>
    <w:p w14:paraId="775D7E49" w14:textId="77777777" w:rsidR="00002E89" w:rsidRPr="00002E89" w:rsidRDefault="00002E89" w:rsidP="00F93504">
      <w:pPr>
        <w:pStyle w:val="98m5"/>
        <w:spacing w:before="0" w:beforeAutospacing="0" w:after="0" w:afterAutospacing="0"/>
        <w:ind w:left="987"/>
        <w:jc w:val="both"/>
        <w:rPr>
          <w:rFonts w:ascii="Helvetica Neue Light" w:hAnsi="Helvetica Neue Light"/>
          <w:color w:val="000000"/>
        </w:rPr>
      </w:pPr>
    </w:p>
    <w:p w14:paraId="5F2D35A1" w14:textId="65325CBA" w:rsidR="00002E89" w:rsidRPr="00002E89" w:rsidRDefault="00002E89" w:rsidP="00F93504">
      <w:pPr>
        <w:pStyle w:val="NormalWeb"/>
        <w:numPr>
          <w:ilvl w:val="0"/>
          <w:numId w:val="2"/>
        </w:numPr>
        <w:spacing w:before="0" w:beforeAutospacing="0" w:after="0" w:afterAutospacing="0"/>
        <w:ind w:left="987" w:firstLine="0"/>
        <w:jc w:val="both"/>
        <w:rPr>
          <w:rFonts w:ascii="Helvetica Neue Light" w:hAnsi="Helvetica Neue Light"/>
          <w:color w:val="000000"/>
        </w:rPr>
      </w:pPr>
      <w:r w:rsidRPr="00002E89">
        <w:rPr>
          <w:rFonts w:ascii="TimesNewRomanPSMT" w:hAnsi="TimesNewRomanPSMT"/>
        </w:rPr>
        <w:t xml:space="preserve">The Special Rapporteur has been engaged in a long-term and constructive conversation with Facebook concerning its </w:t>
      </w:r>
      <w:r w:rsidR="00DB0F81">
        <w:rPr>
          <w:rFonts w:ascii="TimesNewRomanPSMT" w:hAnsi="TimesNewRomanPSMT"/>
        </w:rPr>
        <w:t xml:space="preserve">previous </w:t>
      </w:r>
      <w:r w:rsidRPr="00002E89">
        <w:rPr>
          <w:rFonts w:ascii="TimesNewRomanPSMT" w:hAnsi="TimesNewRomanPSMT"/>
        </w:rPr>
        <w:t>definition of terrorist entities</w:t>
      </w:r>
      <w:r>
        <w:rPr>
          <w:rFonts w:ascii="TimesNewRomanPSMT" w:hAnsi="TimesNewRomanPSMT"/>
        </w:rPr>
        <w:t xml:space="preserve"> as well as</w:t>
      </w:r>
      <w:r w:rsidRPr="00002E89">
        <w:rPr>
          <w:rFonts w:ascii="TimesNewRomanPSMT" w:hAnsi="TimesNewRomanPSMT"/>
        </w:rPr>
        <w:t xml:space="preserve"> its Community Guidelines on Dangerous Individuals and Organizations.</w:t>
      </w:r>
      <w:r w:rsidR="007625B6">
        <w:rPr>
          <w:rStyle w:val="FootnoteReference"/>
          <w:rFonts w:ascii="TimesNewRomanPSMT" w:hAnsi="TimesNewRomanPSMT"/>
        </w:rPr>
        <w:footnoteReference w:id="1"/>
      </w:r>
      <w:r w:rsidRPr="00002E89">
        <w:rPr>
          <w:rFonts w:ascii="TimesNewRomanPSMT" w:hAnsi="TimesNewRomanPSMT"/>
        </w:rPr>
        <w:t xml:space="preserve"> I have welcomed Facebook’s effort to update its definition of terrorist entities with the aim of bringing it in line with international law standards and note</w:t>
      </w:r>
      <w:r w:rsidR="00DB0F81">
        <w:rPr>
          <w:rFonts w:ascii="TimesNewRomanPSMT" w:hAnsi="TimesNewRomanPSMT"/>
        </w:rPr>
        <w:t xml:space="preserve"> some </w:t>
      </w:r>
      <w:r w:rsidRPr="00002E89">
        <w:rPr>
          <w:rFonts w:ascii="TimesNewRomanPSMT" w:hAnsi="TimesNewRomanPSMT"/>
        </w:rPr>
        <w:t>improvements brought by the amendments.</w:t>
      </w:r>
      <w:r w:rsidR="00DB0F81">
        <w:rPr>
          <w:rFonts w:ascii="TimesNewRomanPSMT" w:hAnsi="TimesNewRomanPSMT"/>
        </w:rPr>
        <w:t xml:space="preserve"> Nonetheless, the Special Rapporteur remains very concerned that the Guidelines</w:t>
      </w:r>
      <w:r w:rsidR="003B2C30">
        <w:rPr>
          <w:rFonts w:ascii="TimesNewRomanPSMT" w:hAnsi="TimesNewRomanPSMT"/>
        </w:rPr>
        <w:t xml:space="preserve"> and Standard</w:t>
      </w:r>
      <w:r w:rsidR="00DB0F81">
        <w:rPr>
          <w:rFonts w:ascii="TimesNewRomanPSMT" w:hAnsi="TimesNewRomanPSMT"/>
        </w:rPr>
        <w:t xml:space="preserve"> are insufficiently consistent with international law and may function in practice to undermine certain fundamental rights</w:t>
      </w:r>
      <w:r w:rsidR="007625B6">
        <w:rPr>
          <w:rFonts w:ascii="TimesNewRomanPSMT" w:hAnsi="TimesNewRomanPSMT"/>
        </w:rPr>
        <w:t>,</w:t>
      </w:r>
      <w:r w:rsidR="00DB0F81">
        <w:rPr>
          <w:rFonts w:ascii="TimesNewRomanPSMT" w:hAnsi="TimesNewRomanPSMT"/>
        </w:rPr>
        <w:t xml:space="preserve"> including but not limited to freedom of expression, association, participation in public affairs and non-discrimination.</w:t>
      </w:r>
    </w:p>
    <w:p w14:paraId="27667773" w14:textId="77777777" w:rsidR="00002E89" w:rsidRDefault="00002E89" w:rsidP="00F93504">
      <w:pPr>
        <w:pStyle w:val="ListParagraph"/>
        <w:rPr>
          <w:rFonts w:ascii="Helvetica Neue Light" w:hAnsi="Helvetica Neue Light"/>
          <w:color w:val="000000"/>
        </w:rPr>
      </w:pPr>
    </w:p>
    <w:p w14:paraId="0FF7594F" w14:textId="45394F45" w:rsidR="009757E4" w:rsidRDefault="00002E89" w:rsidP="009757E4">
      <w:pPr>
        <w:numPr>
          <w:ilvl w:val="0"/>
          <w:numId w:val="2"/>
        </w:numPr>
        <w:ind w:firstLine="0"/>
        <w:jc w:val="both"/>
        <w:rPr>
          <w:rFonts w:ascii="Helvetica Neue Light" w:eastAsia="Times New Roman" w:hAnsi="Helvetica Neue Light" w:cs="Calibri"/>
          <w:color w:val="000000"/>
          <w:lang w:eastAsia="en-GB" w:bidi="he-IL"/>
        </w:rPr>
      </w:pPr>
      <w:r w:rsidRPr="00002E89">
        <w:rPr>
          <w:rFonts w:ascii="TimesNewRomanPSMT" w:eastAsia="Times New Roman" w:hAnsi="TimesNewRomanPSMT" w:cs="Calibri"/>
          <w:lang w:eastAsia="en-GB" w:bidi="he-IL"/>
        </w:rPr>
        <w:t xml:space="preserve">The </w:t>
      </w:r>
      <w:r w:rsidR="00695054">
        <w:rPr>
          <w:rFonts w:ascii="TimesNewRomanPSMT" w:eastAsia="Times New Roman" w:hAnsi="TimesNewRomanPSMT" w:cs="Calibri"/>
          <w:lang w:eastAsia="en-GB" w:bidi="he-IL"/>
        </w:rPr>
        <w:t xml:space="preserve">Special Rapporteur </w:t>
      </w:r>
      <w:r w:rsidRPr="00002E89">
        <w:rPr>
          <w:rFonts w:ascii="TimesNewRomanPSMT" w:eastAsia="Times New Roman" w:hAnsi="TimesNewRomanPSMT" w:cs="Calibri"/>
          <w:lang w:eastAsia="en-GB" w:bidi="he-IL"/>
        </w:rPr>
        <w:t>has advised Facebook to develop a definition of terrorism as opposed to relying primarily on a definition of terrorist entities or dangerous organizations. The language of dangerous o</w:t>
      </w:r>
      <w:r w:rsidR="009757E4">
        <w:rPr>
          <w:rFonts w:ascii="TimesNewRomanPSMT" w:eastAsia="Times New Roman" w:hAnsi="TimesNewRomanPSMT" w:cs="Calibri"/>
          <w:lang w:eastAsia="en-GB" w:bidi="he-IL"/>
        </w:rPr>
        <w:t>rganizations</w:t>
      </w:r>
      <w:r w:rsidRPr="00002E89">
        <w:rPr>
          <w:rFonts w:ascii="TimesNewRomanPSMT" w:eastAsia="Times New Roman" w:hAnsi="TimesNewRomanPSMT" w:cs="Calibri"/>
          <w:lang w:eastAsia="en-GB" w:bidi="he-IL"/>
        </w:rPr>
        <w:t xml:space="preserve"> raises complex issues about assessing and establishing membership in and/or affiliation with such groups. The Special Rapporteur notes in this respect that Facebook does not seem to have publicly available criteria on how such assessments are to be conducted. </w:t>
      </w:r>
    </w:p>
    <w:p w14:paraId="1F29E313" w14:textId="77777777" w:rsidR="009757E4" w:rsidRDefault="009757E4" w:rsidP="009757E4">
      <w:pPr>
        <w:pStyle w:val="ListParagraph"/>
        <w:rPr>
          <w:rFonts w:asciiTheme="majorBidi" w:hAnsiTheme="majorBidi" w:cstheme="majorBidi"/>
          <w:color w:val="000000"/>
          <w:lang w:eastAsia="en-GB" w:bidi="he-IL"/>
        </w:rPr>
      </w:pPr>
    </w:p>
    <w:p w14:paraId="6CF66FB8" w14:textId="7D675218" w:rsidR="009757E4" w:rsidRPr="009757E4" w:rsidRDefault="00695054" w:rsidP="009757E4">
      <w:pPr>
        <w:numPr>
          <w:ilvl w:val="0"/>
          <w:numId w:val="2"/>
        </w:numPr>
        <w:ind w:firstLine="0"/>
        <w:jc w:val="both"/>
        <w:rPr>
          <w:rFonts w:ascii="Helvetica Neue Light" w:eastAsia="Times New Roman" w:hAnsi="Helvetica Neue Light" w:cs="Calibri"/>
          <w:color w:val="000000"/>
          <w:lang w:eastAsia="en-GB" w:bidi="he-IL"/>
        </w:rPr>
      </w:pPr>
      <w:r w:rsidRPr="009757E4">
        <w:rPr>
          <w:rFonts w:asciiTheme="majorBidi" w:eastAsia="Times New Roman" w:hAnsiTheme="majorBidi" w:cstheme="majorBidi"/>
          <w:color w:val="000000"/>
          <w:lang w:eastAsia="en-GB" w:bidi="he-IL"/>
        </w:rPr>
        <w:lastRenderedPageBreak/>
        <w:t>The Special Rapporteur is particularly concerned about the use of the opaque term ‘dangerous’ to define the regulation of organizations and individuals on the internet.  There is no agreed international law or even domestic law</w:t>
      </w:r>
      <w:r w:rsidR="009757E4">
        <w:rPr>
          <w:rFonts w:asciiTheme="majorBidi" w:eastAsia="Times New Roman" w:hAnsiTheme="majorBidi" w:cstheme="majorBidi"/>
          <w:color w:val="000000"/>
          <w:lang w:eastAsia="en-GB" w:bidi="he-IL"/>
        </w:rPr>
        <w:t xml:space="preserve"> meaning of this term.  The term creates </w:t>
      </w:r>
      <w:r w:rsidR="00E91ED4">
        <w:rPr>
          <w:rFonts w:asciiTheme="majorBidi" w:eastAsia="Times New Roman" w:hAnsiTheme="majorBidi" w:cstheme="majorBidi"/>
          <w:color w:val="000000"/>
          <w:lang w:eastAsia="en-GB" w:bidi="he-IL"/>
        </w:rPr>
        <w:t>u</w:t>
      </w:r>
      <w:r w:rsidR="009757E4">
        <w:rPr>
          <w:rFonts w:asciiTheme="majorBidi" w:eastAsia="Times New Roman" w:hAnsiTheme="majorBidi" w:cstheme="majorBidi"/>
          <w:color w:val="000000"/>
          <w:lang w:eastAsia="en-GB" w:bidi="he-IL"/>
        </w:rPr>
        <w:t xml:space="preserve">ndisputable legal uncertainty and is vague and imprecise.  It is regrettable that the regulatory basis for removal is premised on a standard that </w:t>
      </w:r>
      <w:r w:rsidR="00E91ED4">
        <w:rPr>
          <w:rFonts w:asciiTheme="majorBidi" w:eastAsia="Times New Roman" w:hAnsiTheme="majorBidi" w:cstheme="majorBidi"/>
          <w:color w:val="000000"/>
          <w:lang w:eastAsia="en-GB" w:bidi="he-IL"/>
        </w:rPr>
        <w:t xml:space="preserve">suffers from these defects making the concerns about improper, </w:t>
      </w:r>
      <w:proofErr w:type="gramStart"/>
      <w:r w:rsidR="00E91ED4">
        <w:rPr>
          <w:rFonts w:asciiTheme="majorBidi" w:eastAsia="Times New Roman" w:hAnsiTheme="majorBidi" w:cstheme="majorBidi"/>
          <w:color w:val="000000"/>
          <w:lang w:eastAsia="en-GB" w:bidi="he-IL"/>
        </w:rPr>
        <w:t>discriminatory</w:t>
      </w:r>
      <w:proofErr w:type="gramEnd"/>
      <w:r w:rsidR="00E91ED4">
        <w:rPr>
          <w:rFonts w:asciiTheme="majorBidi" w:eastAsia="Times New Roman" w:hAnsiTheme="majorBidi" w:cstheme="majorBidi"/>
          <w:color w:val="000000"/>
          <w:lang w:eastAsia="en-GB" w:bidi="he-IL"/>
        </w:rPr>
        <w:t xml:space="preserve"> or repressive speech restrictions more acute.</w:t>
      </w:r>
    </w:p>
    <w:p w14:paraId="495724A7" w14:textId="77777777" w:rsidR="009757E4" w:rsidRPr="009757E4" w:rsidRDefault="009757E4" w:rsidP="009757E4">
      <w:pPr>
        <w:rPr>
          <w:rFonts w:ascii="TimesNewRomanPSMT" w:hAnsi="TimesNewRomanPSMT" w:cs="Calibri"/>
          <w:lang w:eastAsia="en-GB" w:bidi="he-IL"/>
        </w:rPr>
      </w:pPr>
    </w:p>
    <w:p w14:paraId="6EC87EEE" w14:textId="470620CF" w:rsidR="00002E89" w:rsidRPr="00E91ED4" w:rsidRDefault="00002E89" w:rsidP="009757E4">
      <w:pPr>
        <w:numPr>
          <w:ilvl w:val="0"/>
          <w:numId w:val="2"/>
        </w:numPr>
        <w:ind w:firstLine="0"/>
        <w:jc w:val="both"/>
        <w:rPr>
          <w:rFonts w:asciiTheme="majorBidi" w:eastAsia="Times New Roman" w:hAnsiTheme="majorBidi" w:cstheme="majorBidi"/>
          <w:color w:val="000000"/>
          <w:lang w:eastAsia="en-GB" w:bidi="he-IL"/>
        </w:rPr>
      </w:pPr>
      <w:r w:rsidRPr="00002E89">
        <w:rPr>
          <w:rFonts w:ascii="TimesNewRomanPSMT" w:eastAsia="Times New Roman" w:hAnsi="TimesNewRomanPSMT" w:cs="Calibri"/>
          <w:lang w:eastAsia="en-GB" w:bidi="he-IL"/>
        </w:rPr>
        <w:t xml:space="preserve">While acknowledging the importance of regulating advocacy to violence, Facebook </w:t>
      </w:r>
      <w:r w:rsidR="00DB0F81" w:rsidRPr="009757E4">
        <w:rPr>
          <w:rFonts w:ascii="TimesNewRomanPSMT" w:eastAsia="Times New Roman" w:hAnsi="TimesNewRomanPSMT" w:cs="Calibri"/>
          <w:lang w:eastAsia="en-GB" w:bidi="he-IL"/>
        </w:rPr>
        <w:t xml:space="preserve">must make clear </w:t>
      </w:r>
      <w:r w:rsidRPr="00002E89">
        <w:rPr>
          <w:rFonts w:ascii="TimesNewRomanPSMT" w:eastAsia="Times New Roman" w:hAnsi="TimesNewRomanPSMT" w:cs="Calibri"/>
          <w:lang w:eastAsia="en-GB" w:bidi="he-IL"/>
        </w:rPr>
        <w:t xml:space="preserve">that the company maintains a robust protection of freedom of expression, including speech that may be offensive, </w:t>
      </w:r>
      <w:proofErr w:type="gramStart"/>
      <w:r w:rsidRPr="00002E89">
        <w:rPr>
          <w:rFonts w:ascii="TimesNewRomanPSMT" w:eastAsia="Times New Roman" w:hAnsi="TimesNewRomanPSMT" w:cs="Calibri"/>
          <w:lang w:eastAsia="en-GB" w:bidi="he-IL"/>
        </w:rPr>
        <w:t>distasteful</w:t>
      </w:r>
      <w:proofErr w:type="gramEnd"/>
      <w:r w:rsidRPr="00002E89">
        <w:rPr>
          <w:rFonts w:ascii="TimesNewRomanPSMT" w:eastAsia="Times New Roman" w:hAnsi="TimesNewRomanPSMT" w:cs="Calibri"/>
          <w:lang w:eastAsia="en-GB" w:bidi="he-IL"/>
        </w:rPr>
        <w:t xml:space="preserve"> or unacceptable to some. The mandate therefore reiterates its earlier recommendations</w:t>
      </w:r>
      <w:r w:rsidRPr="00002E89">
        <w:rPr>
          <w:rFonts w:ascii="TimesNewRomanPSMT" w:eastAsia="Times New Roman" w:hAnsi="TimesNewRomanPSMT" w:cs="Calibri"/>
          <w:position w:val="8"/>
          <w:sz w:val="16"/>
          <w:szCs w:val="16"/>
          <w:lang w:eastAsia="en-GB" w:bidi="he-IL"/>
        </w:rPr>
        <w:t xml:space="preserve">2 </w:t>
      </w:r>
      <w:r w:rsidRPr="00002E89">
        <w:rPr>
          <w:rFonts w:ascii="TimesNewRomanPSMT" w:eastAsia="Times New Roman" w:hAnsi="TimesNewRomanPSMT" w:cs="Calibri"/>
          <w:lang w:eastAsia="en-GB" w:bidi="he-IL"/>
        </w:rPr>
        <w:t xml:space="preserve">that Facebook consider adopting the model definition of incitement to terrorism advanced by the </w:t>
      </w:r>
      <w:r w:rsidRPr="00002E89">
        <w:rPr>
          <w:rFonts w:ascii="TimesNewRomanPSMT" w:eastAsia="Times New Roman" w:hAnsi="TimesNewRomanPSMT" w:cs="Times New Roman"/>
          <w:lang w:eastAsia="en-GB" w:bidi="he-IL"/>
        </w:rPr>
        <w:t>mandate of the Special Rapporteur</w:t>
      </w:r>
      <w:r w:rsidR="00DB0F81">
        <w:rPr>
          <w:rStyle w:val="FootnoteReference"/>
          <w:rFonts w:ascii="TimesNewRomanPSMT" w:eastAsia="Times New Roman" w:hAnsi="TimesNewRomanPSMT" w:cs="Times New Roman"/>
          <w:lang w:eastAsia="en-GB" w:bidi="he-IL"/>
        </w:rPr>
        <w:footnoteReference w:id="2"/>
      </w:r>
      <w:r w:rsidRPr="00002E89">
        <w:rPr>
          <w:rFonts w:ascii="TimesNewRomanPSMT" w:eastAsia="Times New Roman" w:hAnsi="TimesNewRomanPSMT" w:cs="Times New Roman"/>
          <w:position w:val="8"/>
          <w:sz w:val="16"/>
          <w:szCs w:val="16"/>
          <w:lang w:eastAsia="en-GB" w:bidi="he-IL"/>
        </w:rPr>
        <w:t xml:space="preserve"> </w:t>
      </w:r>
      <w:r w:rsidRPr="00002E89">
        <w:rPr>
          <w:rFonts w:ascii="TimesNewRomanPSMT" w:eastAsia="Times New Roman" w:hAnsi="TimesNewRomanPSMT" w:cs="Times New Roman"/>
          <w:lang w:eastAsia="en-GB" w:bidi="he-IL"/>
        </w:rPr>
        <w:t>and be guided by Articles 19(3) and 20 of the International Covenant on Civil and Political Rights and the standards spelled out in the Rabat Plan of Action</w:t>
      </w:r>
      <w:r w:rsidR="00DB0F81">
        <w:rPr>
          <w:rStyle w:val="FootnoteReference"/>
          <w:rFonts w:ascii="TimesNewRomanPSMT" w:eastAsia="Times New Roman" w:hAnsi="TimesNewRomanPSMT" w:cs="Times New Roman"/>
          <w:lang w:eastAsia="en-GB" w:bidi="he-IL"/>
        </w:rPr>
        <w:footnoteReference w:id="3"/>
      </w:r>
      <w:r w:rsidRPr="00002E89">
        <w:rPr>
          <w:rFonts w:ascii="TimesNewRomanPSMT" w:eastAsia="Times New Roman" w:hAnsi="TimesNewRomanPSMT" w:cs="Times New Roman"/>
          <w:position w:val="8"/>
          <w:sz w:val="16"/>
          <w:szCs w:val="16"/>
          <w:lang w:eastAsia="en-GB" w:bidi="he-IL"/>
        </w:rPr>
        <w:t xml:space="preserve"> </w:t>
      </w:r>
      <w:r w:rsidRPr="00002E89">
        <w:rPr>
          <w:rFonts w:ascii="TimesNewRomanPSMT" w:eastAsia="Times New Roman" w:hAnsi="TimesNewRomanPSMT" w:cs="Times New Roman"/>
          <w:lang w:eastAsia="en-GB" w:bidi="he-IL"/>
        </w:rPr>
        <w:t xml:space="preserve">when addressing advocacy of national, </w:t>
      </w:r>
      <w:proofErr w:type="gramStart"/>
      <w:r w:rsidRPr="00002E89">
        <w:rPr>
          <w:rFonts w:ascii="TimesNewRomanPSMT" w:eastAsia="Times New Roman" w:hAnsi="TimesNewRomanPSMT" w:cs="Times New Roman"/>
          <w:lang w:eastAsia="en-GB" w:bidi="he-IL"/>
        </w:rPr>
        <w:t>racial</w:t>
      </w:r>
      <w:proofErr w:type="gramEnd"/>
      <w:r w:rsidRPr="00002E89">
        <w:rPr>
          <w:rFonts w:ascii="TimesNewRomanPSMT" w:eastAsia="Times New Roman" w:hAnsi="TimesNewRomanPSMT" w:cs="Times New Roman"/>
          <w:lang w:eastAsia="en-GB" w:bidi="he-IL"/>
        </w:rPr>
        <w:t xml:space="preserve"> or religious hatred that may constitute incitement to </w:t>
      </w:r>
      <w:r w:rsidRPr="00002E89">
        <w:rPr>
          <w:rFonts w:asciiTheme="majorBidi" w:eastAsia="Times New Roman" w:hAnsiTheme="majorBidi" w:cstheme="majorBidi"/>
          <w:lang w:eastAsia="en-GB" w:bidi="he-IL"/>
        </w:rPr>
        <w:t xml:space="preserve">discrimination, hostility or violence. </w:t>
      </w:r>
    </w:p>
    <w:p w14:paraId="30AD4D85" w14:textId="77777777" w:rsidR="00E91ED4" w:rsidRPr="00E91ED4" w:rsidRDefault="00E91ED4" w:rsidP="00E91ED4">
      <w:pPr>
        <w:ind w:left="984"/>
        <w:jc w:val="both"/>
        <w:rPr>
          <w:rFonts w:asciiTheme="majorBidi" w:eastAsia="Times New Roman" w:hAnsiTheme="majorBidi" w:cstheme="majorBidi"/>
          <w:color w:val="000000"/>
          <w:lang w:eastAsia="en-GB" w:bidi="he-IL"/>
        </w:rPr>
      </w:pPr>
    </w:p>
    <w:p w14:paraId="29AC4150" w14:textId="62B9887A" w:rsidR="00E91ED4" w:rsidRPr="00130F11" w:rsidRDefault="00E91ED4" w:rsidP="00E91ED4">
      <w:pPr>
        <w:numPr>
          <w:ilvl w:val="0"/>
          <w:numId w:val="2"/>
        </w:numPr>
        <w:ind w:firstLine="0"/>
        <w:jc w:val="both"/>
        <w:rPr>
          <w:rFonts w:asciiTheme="majorBidi" w:eastAsia="Times New Roman" w:hAnsiTheme="majorBidi" w:cstheme="majorBidi"/>
          <w:color w:val="000000"/>
          <w:lang w:eastAsia="en-GB" w:bidi="he-IL"/>
        </w:rPr>
      </w:pPr>
      <w:r w:rsidRPr="00E91ED4">
        <w:rPr>
          <w:rFonts w:asciiTheme="majorBidi" w:hAnsiTheme="majorBidi" w:cstheme="majorBidi"/>
        </w:rPr>
        <w:t>I further wish to express my concern at the overly broad definition of terroris</w:t>
      </w:r>
      <w:r w:rsidR="00D21E22">
        <w:rPr>
          <w:rFonts w:asciiTheme="majorBidi" w:hAnsiTheme="majorBidi" w:cstheme="majorBidi"/>
        </w:rPr>
        <w:t>m</w:t>
      </w:r>
      <w:r w:rsidRPr="00E91ED4">
        <w:rPr>
          <w:rFonts w:asciiTheme="majorBidi" w:hAnsiTheme="majorBidi" w:cstheme="majorBidi"/>
        </w:rPr>
        <w:t xml:space="preserve"> / dangerous organizations </w:t>
      </w:r>
      <w:r w:rsidRPr="00130F11">
        <w:rPr>
          <w:rFonts w:asciiTheme="majorBidi" w:hAnsiTheme="majorBidi" w:cstheme="majorBidi"/>
        </w:rPr>
        <w:t xml:space="preserve">used by Facebook </w:t>
      </w:r>
      <w:r w:rsidR="000726F2" w:rsidRPr="00130F11">
        <w:rPr>
          <w:rFonts w:asciiTheme="majorBidi" w:hAnsiTheme="majorBidi" w:cstheme="majorBidi"/>
        </w:rPr>
        <w:t xml:space="preserve">combined with </w:t>
      </w:r>
      <w:r w:rsidRPr="00130F11">
        <w:rPr>
          <w:rFonts w:asciiTheme="majorBidi" w:hAnsiTheme="majorBidi" w:cstheme="majorBidi"/>
        </w:rPr>
        <w:t>the seeming lack of a human rights approach to content moderation policies.</w:t>
      </w:r>
      <w:r w:rsidR="000726F2" w:rsidRPr="00130F11">
        <w:rPr>
          <w:rFonts w:asciiTheme="majorBidi" w:hAnsiTheme="majorBidi" w:cstheme="majorBidi"/>
        </w:rPr>
        <w:t xml:space="preserve">  The combination provides what might be described as a sub-optimal protection of human rights on the platform</w:t>
      </w:r>
      <w:r w:rsidR="001D3BC8">
        <w:rPr>
          <w:rFonts w:asciiTheme="majorBidi" w:hAnsiTheme="majorBidi" w:cstheme="majorBidi"/>
        </w:rPr>
        <w:t>,</w:t>
      </w:r>
      <w:r w:rsidR="000726F2" w:rsidRPr="00130F11">
        <w:rPr>
          <w:rFonts w:asciiTheme="majorBidi" w:hAnsiTheme="majorBidi" w:cstheme="majorBidi"/>
        </w:rPr>
        <w:t xml:space="preserve"> which may be enormously consequential in terms of the global protection of certain rights, the narrowing of civic space, and the </w:t>
      </w:r>
      <w:r w:rsidR="00D21E22" w:rsidRPr="00130F11">
        <w:rPr>
          <w:rFonts w:asciiTheme="majorBidi" w:hAnsiTheme="majorBidi" w:cstheme="majorBidi"/>
        </w:rPr>
        <w:t xml:space="preserve">negative </w:t>
      </w:r>
      <w:r w:rsidR="000726F2" w:rsidRPr="00130F11">
        <w:rPr>
          <w:rFonts w:asciiTheme="majorBidi" w:hAnsiTheme="majorBidi" w:cstheme="majorBidi"/>
        </w:rPr>
        <w:t>consolidation</w:t>
      </w:r>
      <w:r w:rsidR="00D21E22" w:rsidRPr="00130F11">
        <w:rPr>
          <w:rFonts w:asciiTheme="majorBidi" w:hAnsiTheme="majorBidi" w:cstheme="majorBidi"/>
        </w:rPr>
        <w:t xml:space="preserve"> </w:t>
      </w:r>
      <w:r w:rsidR="000726F2" w:rsidRPr="00130F11">
        <w:rPr>
          <w:rFonts w:asciiTheme="majorBidi" w:hAnsiTheme="majorBidi" w:cstheme="majorBidi"/>
        </w:rPr>
        <w:t xml:space="preserve">of trends on </w:t>
      </w:r>
      <w:r w:rsidR="00D21E22" w:rsidRPr="00130F11">
        <w:rPr>
          <w:rFonts w:asciiTheme="majorBidi" w:hAnsiTheme="majorBidi" w:cstheme="majorBidi"/>
        </w:rPr>
        <w:t xml:space="preserve">governance, </w:t>
      </w:r>
      <w:proofErr w:type="gramStart"/>
      <w:r w:rsidR="00D21E22" w:rsidRPr="00130F11">
        <w:rPr>
          <w:rFonts w:asciiTheme="majorBidi" w:hAnsiTheme="majorBidi" w:cstheme="majorBidi"/>
        </w:rPr>
        <w:t>accountability</w:t>
      </w:r>
      <w:proofErr w:type="gramEnd"/>
      <w:r w:rsidR="00D21E22" w:rsidRPr="00130F11">
        <w:rPr>
          <w:rFonts w:asciiTheme="majorBidi" w:hAnsiTheme="majorBidi" w:cstheme="majorBidi"/>
        </w:rPr>
        <w:t xml:space="preserve"> and rule of law in many national settings.</w:t>
      </w:r>
      <w:r w:rsidR="00130F11" w:rsidRPr="00130F11">
        <w:rPr>
          <w:rFonts w:asciiTheme="majorBidi" w:hAnsiTheme="majorBidi" w:cstheme="majorBidi"/>
        </w:rPr>
        <w:t xml:space="preserve"> </w:t>
      </w:r>
      <w:r w:rsidR="00130F11" w:rsidRPr="00130F11">
        <w:rPr>
          <w:rFonts w:asciiTheme="majorBidi" w:hAnsiTheme="majorBidi" w:cstheme="majorBidi"/>
          <w:color w:val="000000" w:themeColor="text1"/>
          <w:shd w:val="clear" w:color="auto" w:fill="FFFFFF"/>
        </w:rPr>
        <w:t xml:space="preserve">Moreover, the Special Rapporteur warns against the use of overly broad and </w:t>
      </w:r>
      <w:r w:rsidR="00130F11" w:rsidRPr="00130F11">
        <w:rPr>
          <w:rFonts w:asciiTheme="majorBidi" w:hAnsiTheme="majorBidi" w:cstheme="majorBidi"/>
        </w:rPr>
        <w:t>imprecise</w:t>
      </w:r>
      <w:r w:rsidR="00130F11" w:rsidRPr="00130F11">
        <w:rPr>
          <w:rFonts w:asciiTheme="majorBidi" w:hAnsiTheme="majorBidi" w:cstheme="majorBidi"/>
          <w:color w:val="000000" w:themeColor="text1"/>
          <w:shd w:val="clear" w:color="auto" w:fill="FFFFFF"/>
        </w:rPr>
        <w:t xml:space="preserve"> definitions as the basis for regulating access to and the use of Facebook’s platform as </w:t>
      </w:r>
      <w:r w:rsidR="001D3BC8">
        <w:rPr>
          <w:rFonts w:asciiTheme="majorBidi" w:hAnsiTheme="majorBidi" w:cstheme="majorBidi"/>
          <w:color w:val="000000" w:themeColor="text1"/>
          <w:shd w:val="clear" w:color="auto" w:fill="FFFFFF"/>
        </w:rPr>
        <w:t>such approaches</w:t>
      </w:r>
      <w:r w:rsidR="001D3BC8" w:rsidRPr="00130F11">
        <w:rPr>
          <w:rFonts w:asciiTheme="majorBidi" w:hAnsiTheme="majorBidi" w:cstheme="majorBidi"/>
          <w:color w:val="000000" w:themeColor="text1"/>
          <w:shd w:val="clear" w:color="auto" w:fill="FFFFFF"/>
        </w:rPr>
        <w:t xml:space="preserve"> </w:t>
      </w:r>
      <w:r w:rsidR="00130F11" w:rsidRPr="00130F11">
        <w:rPr>
          <w:rFonts w:asciiTheme="majorBidi" w:hAnsiTheme="majorBidi" w:cstheme="majorBidi"/>
          <w:color w:val="000000" w:themeColor="text1"/>
          <w:shd w:val="clear" w:color="auto" w:fill="FFFFFF"/>
        </w:rPr>
        <w:t xml:space="preserve">may lead </w:t>
      </w:r>
      <w:r w:rsidR="00130F11" w:rsidRPr="00130F11">
        <w:rPr>
          <w:rFonts w:asciiTheme="majorBidi" w:hAnsiTheme="majorBidi" w:cstheme="majorBidi"/>
        </w:rPr>
        <w:t>to indiscriminate implementation, over-</w:t>
      </w:r>
      <w:proofErr w:type="gramStart"/>
      <w:r w:rsidR="00130F11" w:rsidRPr="00130F11">
        <w:rPr>
          <w:rFonts w:asciiTheme="majorBidi" w:hAnsiTheme="majorBidi" w:cstheme="majorBidi"/>
        </w:rPr>
        <w:t>censoring</w:t>
      </w:r>
      <w:proofErr w:type="gramEnd"/>
      <w:r w:rsidR="00130F11" w:rsidRPr="00130F11">
        <w:rPr>
          <w:rFonts w:asciiTheme="majorBidi" w:hAnsiTheme="majorBidi" w:cstheme="majorBidi"/>
        </w:rPr>
        <w:t xml:space="preserve"> and arbitrary denial of access to and use of Facebook’s services.</w:t>
      </w:r>
    </w:p>
    <w:p w14:paraId="50525136" w14:textId="77777777" w:rsidR="00E91ED4" w:rsidRPr="00D21E22" w:rsidRDefault="00E91ED4" w:rsidP="00E91ED4">
      <w:pPr>
        <w:pStyle w:val="ListParagraph"/>
        <w:rPr>
          <w:rFonts w:asciiTheme="majorBidi" w:hAnsiTheme="majorBidi" w:cstheme="majorBidi"/>
        </w:rPr>
      </w:pPr>
    </w:p>
    <w:p w14:paraId="360A392B" w14:textId="793D5EE9" w:rsidR="00D21E22" w:rsidRPr="00D21E22" w:rsidRDefault="00D21E22" w:rsidP="00D14926">
      <w:pPr>
        <w:numPr>
          <w:ilvl w:val="0"/>
          <w:numId w:val="2"/>
        </w:numPr>
        <w:ind w:firstLine="0"/>
        <w:jc w:val="both"/>
        <w:rPr>
          <w:rFonts w:asciiTheme="majorBidi" w:hAnsiTheme="majorBidi" w:cstheme="majorBidi"/>
          <w:color w:val="000000"/>
          <w:shd w:val="clear" w:color="auto" w:fill="FFFFFF"/>
        </w:rPr>
      </w:pPr>
      <w:r w:rsidRPr="00D21E22">
        <w:rPr>
          <w:rFonts w:asciiTheme="majorBidi" w:hAnsiTheme="majorBidi" w:cstheme="majorBidi"/>
        </w:rPr>
        <w:t>The Special Rapporteur underscores the</w:t>
      </w:r>
      <w:r w:rsidR="00E91ED4" w:rsidRPr="00D21E22">
        <w:rPr>
          <w:rFonts w:asciiTheme="majorBidi" w:hAnsiTheme="majorBidi" w:cstheme="majorBidi"/>
        </w:rPr>
        <w:t xml:space="preserve"> role and influence of the private sector and</w:t>
      </w:r>
      <w:proofErr w:type="gramStart"/>
      <w:r w:rsidR="00E91ED4" w:rsidRPr="00D21E22">
        <w:rPr>
          <w:rFonts w:asciiTheme="majorBidi" w:hAnsiTheme="majorBidi" w:cstheme="majorBidi"/>
        </w:rPr>
        <w:t>, in particular, of</w:t>
      </w:r>
      <w:proofErr w:type="gramEnd"/>
      <w:r w:rsidR="00E91ED4" w:rsidRPr="00D21E22">
        <w:rPr>
          <w:rFonts w:asciiTheme="majorBidi" w:hAnsiTheme="majorBidi" w:cstheme="majorBidi"/>
        </w:rPr>
        <w:t xml:space="preserve"> companies</w:t>
      </w:r>
      <w:r w:rsidRPr="00D21E22">
        <w:rPr>
          <w:rFonts w:asciiTheme="majorBidi" w:hAnsiTheme="majorBidi" w:cstheme="majorBidi"/>
        </w:rPr>
        <w:t xml:space="preserve"> such as Facebook</w:t>
      </w:r>
      <w:r w:rsidR="00E91ED4" w:rsidRPr="00D21E22">
        <w:rPr>
          <w:rFonts w:asciiTheme="majorBidi" w:hAnsiTheme="majorBidi" w:cstheme="majorBidi"/>
        </w:rPr>
        <w:t>,</w:t>
      </w:r>
      <w:r w:rsidR="001D3BC8">
        <w:rPr>
          <w:rFonts w:asciiTheme="majorBidi" w:hAnsiTheme="majorBidi" w:cstheme="majorBidi"/>
        </w:rPr>
        <w:t xml:space="preserve"> which</w:t>
      </w:r>
      <w:r w:rsidR="00E91ED4" w:rsidRPr="00D21E22">
        <w:rPr>
          <w:rFonts w:asciiTheme="majorBidi" w:hAnsiTheme="majorBidi" w:cstheme="majorBidi"/>
        </w:rPr>
        <w:t xml:space="preserve"> own and operat</w:t>
      </w:r>
      <w:r w:rsidR="001D3BC8">
        <w:rPr>
          <w:rFonts w:asciiTheme="majorBidi" w:hAnsiTheme="majorBidi" w:cstheme="majorBidi"/>
        </w:rPr>
        <w:t>e</w:t>
      </w:r>
      <w:r w:rsidR="00E91ED4" w:rsidRPr="00D21E22">
        <w:rPr>
          <w:rFonts w:asciiTheme="majorBidi" w:hAnsiTheme="majorBidi" w:cstheme="majorBidi"/>
        </w:rPr>
        <w:t xml:space="preserve"> major social media platforms</w:t>
      </w:r>
      <w:r w:rsidR="001D3BC8">
        <w:rPr>
          <w:rFonts w:asciiTheme="majorBidi" w:hAnsiTheme="majorBidi" w:cstheme="majorBidi"/>
        </w:rPr>
        <w:t xml:space="preserve"> and</w:t>
      </w:r>
      <w:r w:rsidR="00E91ED4" w:rsidRPr="00D21E22">
        <w:rPr>
          <w:rFonts w:asciiTheme="majorBidi" w:hAnsiTheme="majorBidi" w:cstheme="majorBidi"/>
        </w:rPr>
        <w:t xml:space="preserve"> </w:t>
      </w:r>
      <w:r w:rsidR="001D3BC8" w:rsidRPr="00D21E22">
        <w:rPr>
          <w:rFonts w:asciiTheme="majorBidi" w:hAnsiTheme="majorBidi" w:cstheme="majorBidi"/>
        </w:rPr>
        <w:t>enabl</w:t>
      </w:r>
      <w:r w:rsidR="001D3BC8">
        <w:rPr>
          <w:rFonts w:asciiTheme="majorBidi" w:hAnsiTheme="majorBidi" w:cstheme="majorBidi"/>
        </w:rPr>
        <w:t>e</w:t>
      </w:r>
      <w:r w:rsidR="001D3BC8" w:rsidRPr="00D21E22">
        <w:rPr>
          <w:rFonts w:asciiTheme="majorBidi" w:hAnsiTheme="majorBidi" w:cstheme="majorBidi"/>
        </w:rPr>
        <w:t xml:space="preserve"> </w:t>
      </w:r>
      <w:r w:rsidR="00E91ED4" w:rsidRPr="00D21E22">
        <w:rPr>
          <w:rFonts w:asciiTheme="majorBidi" w:hAnsiTheme="majorBidi" w:cstheme="majorBidi"/>
        </w:rPr>
        <w:t xml:space="preserve">and </w:t>
      </w:r>
      <w:r w:rsidR="001D3BC8">
        <w:rPr>
          <w:rFonts w:asciiTheme="majorBidi" w:hAnsiTheme="majorBidi" w:cstheme="majorBidi"/>
        </w:rPr>
        <w:t>facilitate</w:t>
      </w:r>
      <w:r w:rsidR="00E91ED4" w:rsidRPr="00D21E22">
        <w:rPr>
          <w:rFonts w:asciiTheme="majorBidi" w:hAnsiTheme="majorBidi" w:cstheme="majorBidi"/>
        </w:rPr>
        <w:t xml:space="preserve"> communication between a wide variety of stakeholders</w:t>
      </w:r>
      <w:r w:rsidR="001D3BC8">
        <w:rPr>
          <w:rFonts w:asciiTheme="majorBidi" w:hAnsiTheme="majorBidi" w:cstheme="majorBidi"/>
        </w:rPr>
        <w:t>. Asa consequence, such companies, including Facebook, control significantly impact the</w:t>
      </w:r>
      <w:r w:rsidR="00E91ED4" w:rsidRPr="00D21E22">
        <w:rPr>
          <w:rFonts w:asciiTheme="majorBidi" w:hAnsiTheme="majorBidi" w:cstheme="majorBidi"/>
        </w:rPr>
        <w:t xml:space="preserve"> public’s access to seek, </w:t>
      </w:r>
      <w:proofErr w:type="gramStart"/>
      <w:r w:rsidR="00E91ED4" w:rsidRPr="00D21E22">
        <w:rPr>
          <w:rFonts w:asciiTheme="majorBidi" w:hAnsiTheme="majorBidi" w:cstheme="majorBidi"/>
        </w:rPr>
        <w:t>receive</w:t>
      </w:r>
      <w:proofErr w:type="gramEnd"/>
      <w:r w:rsidR="00E91ED4" w:rsidRPr="00D21E22">
        <w:rPr>
          <w:rFonts w:asciiTheme="majorBidi" w:hAnsiTheme="majorBidi" w:cstheme="majorBidi"/>
        </w:rPr>
        <w:t xml:space="preserve"> and impart information. Companies like Facebook exert considerable influence over individuals’ access to information, freedom of opinion, expression, and association, and over interlinked political and public interest processes. </w:t>
      </w:r>
    </w:p>
    <w:p w14:paraId="6F81D958" w14:textId="77777777" w:rsidR="00D21E22" w:rsidRPr="00D21E22" w:rsidRDefault="00D21E22" w:rsidP="00130F11">
      <w:pPr>
        <w:jc w:val="both"/>
        <w:rPr>
          <w:rFonts w:asciiTheme="majorBidi" w:hAnsiTheme="majorBidi" w:cstheme="majorBidi"/>
          <w:color w:val="000000"/>
          <w:shd w:val="clear" w:color="auto" w:fill="FFFFFF"/>
        </w:rPr>
      </w:pPr>
    </w:p>
    <w:p w14:paraId="1A7016B0" w14:textId="6A6ADC02" w:rsidR="00D21E22" w:rsidRPr="00D21E22" w:rsidRDefault="00D21E22" w:rsidP="00D21E22">
      <w:pPr>
        <w:numPr>
          <w:ilvl w:val="0"/>
          <w:numId w:val="2"/>
        </w:numPr>
        <w:ind w:firstLine="0"/>
        <w:jc w:val="both"/>
        <w:rPr>
          <w:rFonts w:asciiTheme="majorBidi" w:eastAsia="Times New Roman" w:hAnsiTheme="majorBidi" w:cstheme="majorBidi"/>
          <w:color w:val="000000"/>
          <w:lang w:eastAsia="en-GB" w:bidi="he-IL"/>
        </w:rPr>
      </w:pPr>
      <w:r w:rsidRPr="00D21E22">
        <w:rPr>
          <w:rFonts w:asciiTheme="majorBidi" w:hAnsiTheme="majorBidi" w:cstheme="majorBidi"/>
          <w:color w:val="000000"/>
          <w:shd w:val="clear" w:color="auto" w:fill="FFFFFF"/>
        </w:rPr>
        <w:t>The growing role of corporate actors and their increased impact on the enjoyment of human rights</w:t>
      </w:r>
      <w:r w:rsidRPr="00D21E22">
        <w:rPr>
          <w:rFonts w:asciiTheme="majorBidi" w:hAnsiTheme="majorBidi" w:cstheme="majorBidi"/>
        </w:rPr>
        <w:t xml:space="preserve"> </w:t>
      </w:r>
      <w:r w:rsidRPr="00D21E22">
        <w:rPr>
          <w:rFonts w:asciiTheme="majorBidi" w:hAnsiTheme="majorBidi" w:cstheme="majorBidi"/>
          <w:color w:val="000000"/>
          <w:shd w:val="clear" w:color="auto" w:fill="FFFFFF"/>
        </w:rPr>
        <w:t>is addressed by</w:t>
      </w:r>
      <w:r w:rsidRPr="00D21E22">
        <w:rPr>
          <w:rFonts w:asciiTheme="majorBidi" w:hAnsiTheme="majorBidi" w:cstheme="majorBidi"/>
        </w:rPr>
        <w:t xml:space="preserve"> the UN Guiding Principles on Business and Human Rights (UNGPs), providing an authoritative global standard for preventing and addressing adverse human rights impacts linked to business activity.</w:t>
      </w:r>
      <w:r w:rsidRPr="00D21E22">
        <w:rPr>
          <w:rStyle w:val="FootnoteReference"/>
          <w:rFonts w:asciiTheme="majorBidi" w:hAnsiTheme="majorBidi" w:cstheme="majorBidi"/>
        </w:rPr>
        <w:footnoteReference w:id="4"/>
      </w:r>
      <w:r w:rsidRPr="00D21E22">
        <w:rPr>
          <w:rFonts w:asciiTheme="majorBidi" w:hAnsiTheme="majorBidi" w:cstheme="majorBidi"/>
        </w:rPr>
        <w:t xml:space="preserve"> </w:t>
      </w:r>
      <w:r w:rsidRPr="00D21E22">
        <w:rPr>
          <w:rFonts w:asciiTheme="majorBidi" w:hAnsiTheme="majorBidi" w:cstheme="majorBidi"/>
        </w:rPr>
        <w:lastRenderedPageBreak/>
        <w:t xml:space="preserve">While the UNGPs have been </w:t>
      </w:r>
      <w:r w:rsidRPr="00D21E22">
        <w:rPr>
          <w:rFonts w:asciiTheme="majorBidi" w:hAnsiTheme="majorBidi" w:cstheme="majorBidi"/>
          <w:color w:val="000000" w:themeColor="text1"/>
        </w:rPr>
        <w:t>endorsed by the Human Rights Council in Resolution 17/4 of 16 June 2011,</w:t>
      </w:r>
      <w:r w:rsidRPr="00D21E22">
        <w:rPr>
          <w:rStyle w:val="FootnoteReference"/>
          <w:rFonts w:asciiTheme="majorBidi" w:hAnsiTheme="majorBidi" w:cstheme="majorBidi"/>
          <w:color w:val="000000" w:themeColor="text1"/>
        </w:rPr>
        <w:footnoteReference w:id="5"/>
      </w:r>
      <w:r w:rsidRPr="00D21E22">
        <w:rPr>
          <w:rFonts w:asciiTheme="majorBidi" w:hAnsiTheme="majorBidi" w:cstheme="majorBidi"/>
          <w:color w:val="000000" w:themeColor="text1"/>
        </w:rPr>
        <w:t xml:space="preserve"> they are not formally legally binding. They represent</w:t>
      </w:r>
      <w:r w:rsidR="001D3BC8">
        <w:rPr>
          <w:rFonts w:asciiTheme="majorBidi" w:hAnsiTheme="majorBidi" w:cstheme="majorBidi"/>
          <w:color w:val="000000" w:themeColor="text1"/>
        </w:rPr>
        <w:t>,</w:t>
      </w:r>
      <w:r w:rsidRPr="00D21E22">
        <w:rPr>
          <w:rFonts w:asciiTheme="majorBidi" w:hAnsiTheme="majorBidi" w:cstheme="majorBidi"/>
          <w:color w:val="000000" w:themeColor="text1"/>
        </w:rPr>
        <w:t xml:space="preserve"> however</w:t>
      </w:r>
      <w:r w:rsidR="001D3BC8">
        <w:rPr>
          <w:rFonts w:asciiTheme="majorBidi" w:hAnsiTheme="majorBidi" w:cstheme="majorBidi"/>
          <w:color w:val="000000" w:themeColor="text1"/>
        </w:rPr>
        <w:t>,</w:t>
      </w:r>
      <w:r w:rsidRPr="00D21E22">
        <w:rPr>
          <w:rFonts w:asciiTheme="majorBidi" w:hAnsiTheme="majorBidi" w:cstheme="majorBidi"/>
          <w:color w:val="000000" w:themeColor="text1"/>
        </w:rPr>
        <w:t xml:space="preserve"> an important step towards matching the impact of businesses on human rights with corresponding levels of corporate responsibility. Moreover, they represent the direction of legal obligations, as soft law norms that may crystalize to hard law obligation over time and use. </w:t>
      </w:r>
      <w:r w:rsidRPr="00D21E22">
        <w:rPr>
          <w:rFonts w:asciiTheme="majorBidi" w:hAnsiTheme="majorBidi" w:cstheme="majorBidi"/>
          <w:color w:val="000000"/>
          <w:shd w:val="clear" w:color="auto" w:fill="FFFFFF"/>
        </w:rPr>
        <w:t>Under</w:t>
      </w:r>
      <w:r w:rsidRPr="00D21E22">
        <w:rPr>
          <w:rFonts w:asciiTheme="majorBidi" w:hAnsiTheme="majorBidi" w:cstheme="majorBidi"/>
        </w:rPr>
        <w:t xml:space="preserve"> the UNGPs the responsibility to respect internationally recognized human rights</w:t>
      </w:r>
      <w:r w:rsidRPr="00D21E22">
        <w:rPr>
          <w:rStyle w:val="FootnoteReference"/>
          <w:rFonts w:asciiTheme="majorBidi" w:hAnsiTheme="majorBidi" w:cstheme="majorBidi"/>
        </w:rPr>
        <w:footnoteReference w:id="6"/>
      </w:r>
      <w:r w:rsidRPr="00D21E22">
        <w:rPr>
          <w:rFonts w:asciiTheme="majorBidi" w:hAnsiTheme="majorBidi" w:cstheme="majorBidi"/>
        </w:rPr>
        <w:t xml:space="preserve"> implies that businesses must ‘[a]void causing or contributing to adverse human rights impacts through their own activities and address such impacts when they occur’ and ‘[s]eek to prevent or mitigate adverse human rights impacts that are directly linked to their operations, products or services by their business relationships’, even if they have not contributed to those impacts.</w:t>
      </w:r>
      <w:r w:rsidRPr="00D21E22">
        <w:rPr>
          <w:rStyle w:val="FootnoteReference"/>
          <w:rFonts w:asciiTheme="majorBidi" w:hAnsiTheme="majorBidi" w:cstheme="majorBidi"/>
        </w:rPr>
        <w:footnoteReference w:id="7"/>
      </w:r>
      <w:r w:rsidRPr="00D21E22">
        <w:rPr>
          <w:rFonts w:asciiTheme="majorBidi" w:hAnsiTheme="majorBidi" w:cstheme="majorBidi"/>
        </w:rPr>
        <w:t xml:space="preserve"> Corporate responsibility under the UNGPs is independent of State obligations and as such ‘</w:t>
      </w:r>
      <w:r w:rsidRPr="00D21E22">
        <w:rPr>
          <w:rFonts w:asciiTheme="majorBidi" w:hAnsiTheme="majorBidi" w:cstheme="majorBidi"/>
          <w:lang w:eastAsia="en-GB"/>
        </w:rPr>
        <w:t>exists over and above compliance with national laws’ and irrespective of States’ abilities and/or willingness to fulfil their own duties under human rights law.</w:t>
      </w:r>
      <w:r w:rsidRPr="00D21E22">
        <w:rPr>
          <w:rStyle w:val="FootnoteReference"/>
          <w:rFonts w:asciiTheme="majorBidi" w:hAnsiTheme="majorBidi" w:cstheme="majorBidi"/>
          <w:lang w:eastAsia="en-GB"/>
        </w:rPr>
        <w:footnoteReference w:id="8"/>
      </w:r>
      <w:r w:rsidRPr="00D21E22">
        <w:rPr>
          <w:rFonts w:asciiTheme="majorBidi" w:hAnsiTheme="majorBidi" w:cstheme="majorBidi"/>
          <w:lang w:eastAsia="en-GB"/>
        </w:rPr>
        <w:t xml:space="preserve"> </w:t>
      </w:r>
      <w:r>
        <w:rPr>
          <w:rFonts w:asciiTheme="majorBidi" w:hAnsiTheme="majorBidi" w:cstheme="majorBidi"/>
          <w:lang w:eastAsia="en-GB"/>
        </w:rPr>
        <w:t xml:space="preserve"> The Special Rapporteur would affirm the obligations of Facebook in this regard, underscore the need to move beyond a stated commitment to human rights as a value of the organization, and rather implement these values in practice, including in what may be perceived as ‘difficult’ cases.</w:t>
      </w:r>
    </w:p>
    <w:p w14:paraId="18D9BFB1" w14:textId="77777777" w:rsidR="00D21E22" w:rsidRDefault="00D21E22" w:rsidP="00D21E22">
      <w:pPr>
        <w:ind w:left="984"/>
        <w:jc w:val="both"/>
        <w:rPr>
          <w:rFonts w:asciiTheme="majorBidi" w:eastAsia="Times New Roman" w:hAnsiTheme="majorBidi" w:cstheme="majorBidi"/>
          <w:color w:val="000000"/>
          <w:lang w:eastAsia="en-GB" w:bidi="he-IL"/>
        </w:rPr>
      </w:pPr>
    </w:p>
    <w:p w14:paraId="646C0196" w14:textId="7B494641" w:rsidR="00E91ED4" w:rsidRDefault="00E346CA" w:rsidP="00D21E22">
      <w:pPr>
        <w:numPr>
          <w:ilvl w:val="0"/>
          <w:numId w:val="2"/>
        </w:numPr>
        <w:ind w:firstLine="0"/>
        <w:jc w:val="both"/>
        <w:rPr>
          <w:rFonts w:asciiTheme="majorBidi" w:eastAsia="Times New Roman" w:hAnsiTheme="majorBidi" w:cstheme="majorBidi"/>
          <w:color w:val="000000"/>
          <w:lang w:eastAsia="en-GB" w:bidi="he-IL"/>
        </w:rPr>
      </w:pPr>
      <w:r>
        <w:rPr>
          <w:rFonts w:asciiTheme="majorBidi" w:eastAsia="Times New Roman" w:hAnsiTheme="majorBidi" w:cstheme="majorBidi"/>
          <w:color w:val="000000"/>
          <w:lang w:eastAsia="en-GB" w:bidi="he-IL"/>
        </w:rPr>
        <w:t xml:space="preserve">The Special Rapporteur would be concerned </w:t>
      </w:r>
      <w:r w:rsidR="003A6D6E">
        <w:rPr>
          <w:rFonts w:asciiTheme="majorBidi" w:eastAsia="Times New Roman" w:hAnsiTheme="majorBidi" w:cstheme="majorBidi"/>
          <w:color w:val="000000"/>
          <w:lang w:eastAsia="en-GB" w:bidi="he-IL"/>
        </w:rPr>
        <w:t xml:space="preserve">regarding the removal of posts appearing to </w:t>
      </w:r>
      <w:r>
        <w:rPr>
          <w:rFonts w:asciiTheme="majorBidi" w:eastAsia="Times New Roman" w:hAnsiTheme="majorBidi" w:cstheme="majorBidi"/>
          <w:color w:val="000000"/>
          <w:lang w:eastAsia="en-GB" w:bidi="he-IL"/>
        </w:rPr>
        <w:t xml:space="preserve">highlight issues </w:t>
      </w:r>
      <w:r w:rsidR="00130F11">
        <w:rPr>
          <w:rFonts w:asciiTheme="majorBidi" w:eastAsia="Times New Roman" w:hAnsiTheme="majorBidi" w:cstheme="majorBidi"/>
          <w:color w:val="000000"/>
          <w:lang w:eastAsia="en-GB" w:bidi="he-IL"/>
        </w:rPr>
        <w:t>of specific</w:t>
      </w:r>
      <w:r>
        <w:rPr>
          <w:rFonts w:asciiTheme="majorBidi" w:eastAsia="Times New Roman" w:hAnsiTheme="majorBidi" w:cstheme="majorBidi"/>
          <w:color w:val="000000"/>
          <w:lang w:eastAsia="en-GB" w:bidi="he-IL"/>
        </w:rPr>
        <w:t xml:space="preserve"> human rights violations alleged to have been experienced </w:t>
      </w:r>
      <w:r w:rsidR="00130F11">
        <w:rPr>
          <w:rFonts w:asciiTheme="majorBidi" w:eastAsia="Times New Roman" w:hAnsiTheme="majorBidi" w:cstheme="majorBidi"/>
          <w:color w:val="000000"/>
          <w:lang w:eastAsia="en-GB" w:bidi="he-IL"/>
        </w:rPr>
        <w:t xml:space="preserve">by any individual. The legal </w:t>
      </w:r>
      <w:proofErr w:type="gramStart"/>
      <w:r w:rsidR="00130F11">
        <w:rPr>
          <w:rFonts w:asciiTheme="majorBidi" w:eastAsia="Times New Roman" w:hAnsiTheme="majorBidi" w:cstheme="majorBidi"/>
          <w:color w:val="000000"/>
          <w:lang w:eastAsia="en-GB" w:bidi="he-IL"/>
        </w:rPr>
        <w:t>basis  for</w:t>
      </w:r>
      <w:proofErr w:type="gramEnd"/>
      <w:r w:rsidR="00130F11">
        <w:rPr>
          <w:rFonts w:asciiTheme="majorBidi" w:eastAsia="Times New Roman" w:hAnsiTheme="majorBidi" w:cstheme="majorBidi"/>
          <w:color w:val="000000"/>
          <w:lang w:eastAsia="en-GB" w:bidi="he-IL"/>
        </w:rPr>
        <w:t xml:space="preserve"> which a person has been imprisoned is not a bar to raise legitimate and often needed concerns about the treatment of an individual in custody.  More specifically, as the Special Rapporteur can attest</w:t>
      </w:r>
      <w:r w:rsidR="003A6D6E">
        <w:rPr>
          <w:rFonts w:asciiTheme="majorBidi" w:eastAsia="Times New Roman" w:hAnsiTheme="majorBidi" w:cstheme="majorBidi"/>
          <w:color w:val="000000"/>
          <w:lang w:eastAsia="en-GB" w:bidi="he-IL"/>
        </w:rPr>
        <w:t>,</w:t>
      </w:r>
      <w:r w:rsidR="00130F11">
        <w:rPr>
          <w:rFonts w:asciiTheme="majorBidi" w:eastAsia="Times New Roman" w:hAnsiTheme="majorBidi" w:cstheme="majorBidi"/>
          <w:color w:val="000000"/>
          <w:lang w:eastAsia="en-GB" w:bidi="he-IL"/>
        </w:rPr>
        <w:t xml:space="preserve"> there are proven and demonstrated concerns about the human rights adherence in the treatment and detention regimes experienced by persons who have been convicted of acts of terrorism.  It is particularly important therefore that concerns about detention regimes, or experiences of those convicted of especially serious crimes can be raised in public fora, including internet </w:t>
      </w:r>
      <w:r w:rsidR="003A6D6E">
        <w:rPr>
          <w:rFonts w:asciiTheme="majorBidi" w:eastAsia="Times New Roman" w:hAnsiTheme="majorBidi" w:cstheme="majorBidi"/>
          <w:color w:val="000000"/>
          <w:lang w:eastAsia="en-GB" w:bidi="he-IL"/>
        </w:rPr>
        <w:t xml:space="preserve">and social media </w:t>
      </w:r>
      <w:r w:rsidR="00130F11">
        <w:rPr>
          <w:rFonts w:asciiTheme="majorBidi" w:eastAsia="Times New Roman" w:hAnsiTheme="majorBidi" w:cstheme="majorBidi"/>
          <w:color w:val="000000"/>
          <w:lang w:eastAsia="en-GB" w:bidi="he-IL"/>
        </w:rPr>
        <w:t xml:space="preserve">platforms. </w:t>
      </w:r>
    </w:p>
    <w:p w14:paraId="6F4BB48D" w14:textId="77777777" w:rsidR="00D87240" w:rsidRDefault="00D87240" w:rsidP="00D87240">
      <w:pPr>
        <w:pStyle w:val="ListParagraph"/>
        <w:rPr>
          <w:rFonts w:asciiTheme="majorBidi" w:hAnsiTheme="majorBidi" w:cstheme="majorBidi"/>
          <w:color w:val="000000"/>
          <w:lang w:eastAsia="en-GB" w:bidi="he-IL"/>
        </w:rPr>
      </w:pPr>
    </w:p>
    <w:p w14:paraId="465A650E" w14:textId="77777777" w:rsidR="00D87240" w:rsidRPr="00D87240" w:rsidRDefault="00D87240" w:rsidP="00D87240">
      <w:pPr>
        <w:spacing w:after="240"/>
        <w:jc w:val="both"/>
        <w:rPr>
          <w:rFonts w:asciiTheme="majorBidi" w:hAnsiTheme="majorBidi" w:cstheme="majorBidi"/>
          <w:b/>
        </w:rPr>
      </w:pPr>
      <w:r w:rsidRPr="00D87240">
        <w:rPr>
          <w:rFonts w:asciiTheme="majorBidi" w:hAnsiTheme="majorBidi" w:cstheme="majorBidi"/>
          <w:b/>
        </w:rPr>
        <w:t>Recommendations</w:t>
      </w:r>
    </w:p>
    <w:p w14:paraId="14E3B037" w14:textId="0DAF903C" w:rsidR="00D87240" w:rsidRPr="00D87240" w:rsidRDefault="00D87240" w:rsidP="00D87240">
      <w:pPr>
        <w:spacing w:after="240"/>
        <w:ind w:left="60"/>
        <w:jc w:val="both"/>
        <w:rPr>
          <w:rFonts w:asciiTheme="majorBidi" w:hAnsiTheme="majorBidi" w:cstheme="majorBidi"/>
        </w:rPr>
      </w:pPr>
      <w:r w:rsidRPr="00D87240">
        <w:rPr>
          <w:rFonts w:asciiTheme="majorBidi" w:hAnsiTheme="majorBidi" w:cstheme="majorBidi"/>
        </w:rPr>
        <w:t xml:space="preserve">The Special Rapporteur urges </w:t>
      </w:r>
      <w:r>
        <w:rPr>
          <w:rFonts w:asciiTheme="majorBidi" w:hAnsiTheme="majorBidi" w:cstheme="majorBidi"/>
        </w:rPr>
        <w:t>the Oversight Board</w:t>
      </w:r>
      <w:r w:rsidRPr="00D87240">
        <w:rPr>
          <w:rFonts w:asciiTheme="majorBidi" w:hAnsiTheme="majorBidi" w:cstheme="majorBidi"/>
        </w:rPr>
        <w:t xml:space="preserve"> to incorporate a human rights approach into </w:t>
      </w:r>
      <w:r w:rsidR="003A6D6E">
        <w:rPr>
          <w:rFonts w:asciiTheme="majorBidi" w:hAnsiTheme="majorBidi" w:cstheme="majorBidi"/>
        </w:rPr>
        <w:t>guidelines</w:t>
      </w:r>
      <w:r w:rsidR="003B2C30">
        <w:rPr>
          <w:rFonts w:asciiTheme="majorBidi" w:hAnsiTheme="majorBidi" w:cstheme="majorBidi"/>
        </w:rPr>
        <w:t>, standards</w:t>
      </w:r>
      <w:r w:rsidR="003A6D6E">
        <w:rPr>
          <w:rFonts w:asciiTheme="majorBidi" w:hAnsiTheme="majorBidi" w:cstheme="majorBidi"/>
        </w:rPr>
        <w:t xml:space="preserve">, </w:t>
      </w:r>
      <w:r>
        <w:rPr>
          <w:rFonts w:asciiTheme="majorBidi" w:hAnsiTheme="majorBidi" w:cstheme="majorBidi"/>
        </w:rPr>
        <w:t>considerations</w:t>
      </w:r>
      <w:r w:rsidR="003A6D6E">
        <w:rPr>
          <w:rFonts w:asciiTheme="majorBidi" w:hAnsiTheme="majorBidi" w:cstheme="majorBidi"/>
        </w:rPr>
        <w:t>, and practices through the following</w:t>
      </w:r>
      <w:r w:rsidRPr="00D87240">
        <w:rPr>
          <w:rFonts w:asciiTheme="majorBidi" w:hAnsiTheme="majorBidi" w:cstheme="majorBidi"/>
        </w:rPr>
        <w:t>:</w:t>
      </w:r>
    </w:p>
    <w:p w14:paraId="7DEBF78E" w14:textId="0D5C6D5F" w:rsidR="00D87240" w:rsidRPr="00D87240" w:rsidRDefault="00D87240" w:rsidP="00D87240">
      <w:pPr>
        <w:pStyle w:val="ListParagraph"/>
        <w:numPr>
          <w:ilvl w:val="0"/>
          <w:numId w:val="6"/>
        </w:numPr>
        <w:spacing w:after="240"/>
        <w:jc w:val="both"/>
        <w:rPr>
          <w:rFonts w:asciiTheme="majorBidi" w:hAnsiTheme="majorBidi" w:cstheme="majorBidi"/>
          <w:sz w:val="24"/>
          <w:szCs w:val="24"/>
        </w:rPr>
      </w:pPr>
      <w:r>
        <w:rPr>
          <w:rFonts w:asciiTheme="majorBidi" w:hAnsiTheme="majorBidi" w:cstheme="majorBidi"/>
          <w:sz w:val="24"/>
          <w:szCs w:val="24"/>
        </w:rPr>
        <w:t xml:space="preserve">Utilize </w:t>
      </w:r>
      <w:r w:rsidRPr="00D87240">
        <w:rPr>
          <w:rFonts w:asciiTheme="majorBidi" w:hAnsiTheme="majorBidi" w:cstheme="majorBidi"/>
          <w:sz w:val="24"/>
          <w:szCs w:val="24"/>
        </w:rPr>
        <w:t>the model definitions of terrorism and incitement to terrorism advanced by the mandate of the Special Rapporteur</w:t>
      </w:r>
      <w:r>
        <w:rPr>
          <w:rFonts w:asciiTheme="majorBidi" w:hAnsiTheme="majorBidi" w:cstheme="majorBidi"/>
          <w:sz w:val="24"/>
          <w:szCs w:val="24"/>
        </w:rPr>
        <w:t xml:space="preserve"> as relevant to the regulation involved </w:t>
      </w:r>
      <w:proofErr w:type="gramStart"/>
      <w:r>
        <w:rPr>
          <w:rFonts w:asciiTheme="majorBidi" w:hAnsiTheme="majorBidi" w:cstheme="majorBidi"/>
          <w:sz w:val="24"/>
          <w:szCs w:val="24"/>
        </w:rPr>
        <w:t>here</w:t>
      </w:r>
      <w:r w:rsidRPr="00D87240">
        <w:rPr>
          <w:rFonts w:asciiTheme="majorBidi" w:hAnsiTheme="majorBidi" w:cstheme="majorBidi"/>
          <w:sz w:val="24"/>
          <w:szCs w:val="24"/>
        </w:rPr>
        <w:t>;</w:t>
      </w:r>
      <w:proofErr w:type="gramEnd"/>
      <w:r w:rsidRPr="00D87240">
        <w:rPr>
          <w:rFonts w:asciiTheme="majorBidi" w:hAnsiTheme="majorBidi" w:cstheme="majorBidi"/>
          <w:sz w:val="24"/>
          <w:szCs w:val="24"/>
        </w:rPr>
        <w:t xml:space="preserve"> </w:t>
      </w:r>
    </w:p>
    <w:p w14:paraId="60851106" w14:textId="0212917B" w:rsidR="00D87240" w:rsidRPr="00D87240" w:rsidRDefault="00D87240" w:rsidP="00D87240">
      <w:pPr>
        <w:pStyle w:val="ListParagraph"/>
        <w:numPr>
          <w:ilvl w:val="0"/>
          <w:numId w:val="6"/>
        </w:numPr>
        <w:spacing w:after="240"/>
        <w:ind w:left="777" w:hanging="357"/>
        <w:jc w:val="both"/>
        <w:rPr>
          <w:rFonts w:asciiTheme="majorBidi" w:hAnsiTheme="majorBidi" w:cstheme="majorBidi"/>
          <w:sz w:val="24"/>
          <w:szCs w:val="24"/>
        </w:rPr>
      </w:pPr>
      <w:r w:rsidRPr="00D87240">
        <w:rPr>
          <w:rFonts w:asciiTheme="majorBidi" w:hAnsiTheme="majorBidi" w:cstheme="majorBidi"/>
          <w:sz w:val="24"/>
          <w:szCs w:val="24"/>
        </w:rPr>
        <w:t>When handling content potentially amounting to a</w:t>
      </w:r>
      <w:r w:rsidRPr="00D87240">
        <w:rPr>
          <w:rFonts w:asciiTheme="majorBidi" w:hAnsiTheme="majorBidi" w:cstheme="majorBidi"/>
          <w:color w:val="000000"/>
          <w:sz w:val="24"/>
          <w:szCs w:val="24"/>
          <w:shd w:val="clear" w:color="auto" w:fill="FFFFFF"/>
        </w:rPr>
        <w:t xml:space="preserve">dvocacy of national, </w:t>
      </w:r>
      <w:proofErr w:type="gramStart"/>
      <w:r w:rsidRPr="00D87240">
        <w:rPr>
          <w:rFonts w:asciiTheme="majorBidi" w:hAnsiTheme="majorBidi" w:cstheme="majorBidi"/>
          <w:color w:val="000000"/>
          <w:sz w:val="24"/>
          <w:szCs w:val="24"/>
          <w:shd w:val="clear" w:color="auto" w:fill="FFFFFF"/>
        </w:rPr>
        <w:t>racial</w:t>
      </w:r>
      <w:proofErr w:type="gramEnd"/>
      <w:r w:rsidRPr="00D87240">
        <w:rPr>
          <w:rFonts w:asciiTheme="majorBidi" w:hAnsiTheme="majorBidi" w:cstheme="majorBidi"/>
          <w:color w:val="000000"/>
          <w:sz w:val="24"/>
          <w:szCs w:val="24"/>
          <w:shd w:val="clear" w:color="auto" w:fill="FFFFFF"/>
        </w:rPr>
        <w:t xml:space="preserve"> or religious hatred that constitutes incitement to discrimination, hostility or violence,</w:t>
      </w:r>
      <w:r w:rsidRPr="00D87240">
        <w:rPr>
          <w:rFonts w:asciiTheme="majorBidi" w:hAnsiTheme="majorBidi" w:cstheme="majorBidi"/>
          <w:sz w:val="24"/>
          <w:szCs w:val="24"/>
        </w:rPr>
        <w:t xml:space="preserve"> Facebook should be guided by Articles 20 and 19(3) of the International Covenant </w:t>
      </w:r>
      <w:proofErr w:type="spellStart"/>
      <w:r w:rsidRPr="00D87240">
        <w:rPr>
          <w:rFonts w:asciiTheme="majorBidi" w:hAnsiTheme="majorBidi" w:cstheme="majorBidi"/>
          <w:sz w:val="24"/>
          <w:szCs w:val="24"/>
        </w:rPr>
        <w:t>of</w:t>
      </w:r>
      <w:proofErr w:type="spellEnd"/>
      <w:r w:rsidRPr="00D87240">
        <w:rPr>
          <w:rFonts w:asciiTheme="majorBidi" w:hAnsiTheme="majorBidi" w:cstheme="majorBidi"/>
          <w:sz w:val="24"/>
          <w:szCs w:val="24"/>
        </w:rPr>
        <w:t xml:space="preserve"> </w:t>
      </w:r>
      <w:r w:rsidRPr="00D87240">
        <w:rPr>
          <w:rFonts w:asciiTheme="majorBidi" w:hAnsiTheme="majorBidi" w:cstheme="majorBidi"/>
          <w:sz w:val="24"/>
          <w:szCs w:val="24"/>
        </w:rPr>
        <w:lastRenderedPageBreak/>
        <w:t>Civil and Political Rights and the standards spelled out in the Rabat Plan of Action, in particular the six-part threshold test proposed therein</w:t>
      </w:r>
      <w:r>
        <w:rPr>
          <w:rFonts w:asciiTheme="majorBidi" w:hAnsiTheme="majorBidi" w:cstheme="majorBidi"/>
          <w:sz w:val="24"/>
          <w:szCs w:val="24"/>
        </w:rPr>
        <w:t>;</w:t>
      </w:r>
      <w:r w:rsidRPr="00D87240">
        <w:rPr>
          <w:rStyle w:val="FootnoteReference"/>
          <w:rFonts w:asciiTheme="majorBidi" w:hAnsiTheme="majorBidi" w:cstheme="majorBidi"/>
          <w:sz w:val="24"/>
          <w:szCs w:val="24"/>
        </w:rPr>
        <w:footnoteReference w:id="9"/>
      </w:r>
      <w:r w:rsidRPr="00D87240">
        <w:rPr>
          <w:rFonts w:asciiTheme="majorBidi" w:hAnsiTheme="majorBidi" w:cstheme="majorBidi"/>
          <w:sz w:val="24"/>
          <w:szCs w:val="24"/>
        </w:rPr>
        <w:t xml:space="preserve">  </w:t>
      </w:r>
    </w:p>
    <w:p w14:paraId="304E5693" w14:textId="77777777" w:rsidR="00D87240" w:rsidRPr="00D87240" w:rsidRDefault="00D87240" w:rsidP="00D87240">
      <w:pPr>
        <w:pStyle w:val="ListParagraph"/>
        <w:numPr>
          <w:ilvl w:val="0"/>
          <w:numId w:val="6"/>
        </w:numPr>
        <w:spacing w:after="240"/>
        <w:jc w:val="both"/>
        <w:rPr>
          <w:rFonts w:asciiTheme="majorBidi" w:hAnsiTheme="majorBidi" w:cstheme="majorBidi"/>
          <w:sz w:val="24"/>
          <w:szCs w:val="24"/>
        </w:rPr>
      </w:pPr>
      <w:r w:rsidRPr="00D87240">
        <w:rPr>
          <w:rFonts w:asciiTheme="majorBidi" w:hAnsiTheme="majorBidi" w:cstheme="majorBidi"/>
          <w:sz w:val="24"/>
          <w:szCs w:val="24"/>
        </w:rPr>
        <w:t xml:space="preserve">Establish clear, detailed, foreseeable and publicly accessible rules and procedures governing access to and use of the </w:t>
      </w:r>
      <w:proofErr w:type="gramStart"/>
      <w:r w:rsidRPr="00D87240">
        <w:rPr>
          <w:rFonts w:asciiTheme="majorBidi" w:hAnsiTheme="majorBidi" w:cstheme="majorBidi"/>
          <w:sz w:val="24"/>
          <w:szCs w:val="24"/>
        </w:rPr>
        <w:t>platform;</w:t>
      </w:r>
      <w:proofErr w:type="gramEnd"/>
    </w:p>
    <w:p w14:paraId="585E619B" w14:textId="0805E418" w:rsidR="00D87240" w:rsidRPr="00D87240" w:rsidRDefault="00D87240" w:rsidP="00D87240">
      <w:pPr>
        <w:pStyle w:val="ListParagraph"/>
        <w:numPr>
          <w:ilvl w:val="0"/>
          <w:numId w:val="6"/>
        </w:numPr>
        <w:spacing w:after="240"/>
        <w:jc w:val="both"/>
        <w:rPr>
          <w:rFonts w:asciiTheme="majorBidi" w:hAnsiTheme="majorBidi" w:cstheme="majorBidi"/>
          <w:sz w:val="24"/>
          <w:szCs w:val="24"/>
        </w:rPr>
      </w:pPr>
      <w:r>
        <w:rPr>
          <w:rFonts w:asciiTheme="majorBidi" w:hAnsiTheme="majorBidi" w:cstheme="majorBidi"/>
          <w:sz w:val="24"/>
          <w:szCs w:val="24"/>
        </w:rPr>
        <w:t>The Oversight Board</w:t>
      </w:r>
      <w:r w:rsidRPr="00D87240">
        <w:rPr>
          <w:rFonts w:asciiTheme="majorBidi" w:hAnsiTheme="majorBidi" w:cstheme="majorBidi"/>
          <w:sz w:val="24"/>
          <w:szCs w:val="24"/>
        </w:rPr>
        <w:t xml:space="preserve"> should be guided by the recommendations issued in this respect by the Office of the High Commissioner for Human Rights, the Working Group </w:t>
      </w:r>
      <w:r w:rsidRPr="00D87240">
        <w:rPr>
          <w:rFonts w:asciiTheme="majorBidi" w:hAnsiTheme="majorBidi" w:cstheme="majorBidi"/>
          <w:bCs/>
          <w:color w:val="000000"/>
          <w:sz w:val="24"/>
          <w:szCs w:val="24"/>
        </w:rPr>
        <w:t xml:space="preserve">on the issue of human rights and transnational corporations and other business enterprises as well as the </w:t>
      </w:r>
      <w:r w:rsidRPr="00D87240">
        <w:rPr>
          <w:rFonts w:asciiTheme="majorBidi" w:hAnsiTheme="majorBidi" w:cstheme="majorBidi"/>
          <w:sz w:val="24"/>
          <w:szCs w:val="24"/>
        </w:rPr>
        <w:t>Special Rapporteur on the promotion and protection of the right to freedom of opinion and expression.</w:t>
      </w:r>
      <w:r w:rsidRPr="00D87240">
        <w:rPr>
          <w:rStyle w:val="FootnoteReference"/>
          <w:rFonts w:asciiTheme="majorBidi" w:hAnsiTheme="majorBidi" w:cstheme="majorBidi"/>
          <w:sz w:val="24"/>
          <w:szCs w:val="24"/>
        </w:rPr>
        <w:footnoteReference w:id="10"/>
      </w:r>
    </w:p>
    <w:p w14:paraId="14E34E9E" w14:textId="77777777" w:rsidR="00D87240" w:rsidRPr="00002E89" w:rsidRDefault="00D87240" w:rsidP="00D87240">
      <w:pPr>
        <w:jc w:val="both"/>
        <w:rPr>
          <w:rFonts w:asciiTheme="majorBidi" w:eastAsia="Times New Roman" w:hAnsiTheme="majorBidi" w:cstheme="majorBidi"/>
          <w:color w:val="000000"/>
          <w:lang w:eastAsia="en-GB" w:bidi="he-IL"/>
        </w:rPr>
      </w:pPr>
    </w:p>
    <w:p w14:paraId="7E617B83" w14:textId="77777777" w:rsidR="009120AA" w:rsidRPr="00A64594" w:rsidRDefault="00026323" w:rsidP="00A64594"/>
    <w:sectPr w:rsidR="009120AA" w:rsidRPr="00A64594" w:rsidSect="00D13A2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4559C" w14:textId="77777777" w:rsidR="00350665" w:rsidRDefault="00350665" w:rsidP="00DB0F81">
      <w:r>
        <w:separator/>
      </w:r>
    </w:p>
  </w:endnote>
  <w:endnote w:type="continuationSeparator" w:id="0">
    <w:p w14:paraId="79172118" w14:textId="77777777" w:rsidR="00350665" w:rsidRDefault="00350665" w:rsidP="00DB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4D5C" w14:textId="77777777" w:rsidR="00350665" w:rsidRDefault="00350665" w:rsidP="00DB0F81">
      <w:r>
        <w:separator/>
      </w:r>
    </w:p>
  </w:footnote>
  <w:footnote w:type="continuationSeparator" w:id="0">
    <w:p w14:paraId="1171D09B" w14:textId="77777777" w:rsidR="00350665" w:rsidRDefault="00350665" w:rsidP="00DB0F81">
      <w:r>
        <w:continuationSeparator/>
      </w:r>
    </w:p>
  </w:footnote>
  <w:footnote w:id="1">
    <w:p w14:paraId="08EE7E31" w14:textId="1FAD4CE1" w:rsidR="007625B6" w:rsidRPr="00026323" w:rsidRDefault="007625B6">
      <w:pPr>
        <w:pStyle w:val="FootnoteText"/>
        <w:rPr>
          <w:rFonts w:ascii="Times New Roman" w:hAnsi="Times New Roman" w:cs="Times New Roman"/>
          <w:lang w:val="en-US"/>
        </w:rPr>
      </w:pPr>
      <w:r w:rsidRPr="00026323">
        <w:rPr>
          <w:rStyle w:val="FootnoteReference"/>
          <w:rFonts w:ascii="Times New Roman" w:hAnsi="Times New Roman" w:cs="Times New Roman"/>
        </w:rPr>
        <w:footnoteRef/>
      </w:r>
      <w:r w:rsidRPr="00026323">
        <w:rPr>
          <w:rFonts w:ascii="Times New Roman" w:hAnsi="Times New Roman" w:cs="Times New Roman"/>
        </w:rPr>
        <w:t xml:space="preserve"> </w:t>
      </w:r>
      <w:hyperlink r:id="rId1" w:history="1">
        <w:r w:rsidRPr="00026323">
          <w:rPr>
            <w:rStyle w:val="Hyperlink"/>
            <w:rFonts w:ascii="Times New Roman" w:hAnsi="Times New Roman" w:cs="Times New Roman"/>
            <w:i/>
            <w:iCs/>
          </w:rPr>
          <w:t>UN human rights expert says Facebook’s ‘terrorism’ definition is too broad</w:t>
        </w:r>
      </w:hyperlink>
      <w:r w:rsidRPr="00026323">
        <w:rPr>
          <w:rStyle w:val="h2"/>
          <w:rFonts w:ascii="Times New Roman" w:hAnsi="Times New Roman" w:cs="Times New Roman"/>
        </w:rPr>
        <w:t xml:space="preserve">, 3 September 2018. </w:t>
      </w:r>
    </w:p>
  </w:footnote>
  <w:footnote w:id="2">
    <w:p w14:paraId="4B8430A4" w14:textId="170783CE" w:rsidR="00DB0F81" w:rsidRPr="00026323" w:rsidRDefault="00DB0F81" w:rsidP="00DB0F81">
      <w:pPr>
        <w:pStyle w:val="NormalWeb"/>
        <w:spacing w:before="0" w:beforeAutospacing="0" w:after="0" w:afterAutospacing="0"/>
        <w:rPr>
          <w:sz w:val="20"/>
          <w:szCs w:val="20"/>
        </w:rPr>
      </w:pPr>
      <w:r w:rsidRPr="00026323">
        <w:rPr>
          <w:rStyle w:val="FootnoteReference"/>
          <w:sz w:val="20"/>
          <w:szCs w:val="20"/>
        </w:rPr>
        <w:footnoteRef/>
      </w:r>
      <w:r w:rsidRPr="00026323">
        <w:rPr>
          <w:sz w:val="20"/>
          <w:szCs w:val="20"/>
        </w:rPr>
        <w:t xml:space="preserve"> A/HRC/16/51, Practice 8.</w:t>
      </w:r>
    </w:p>
  </w:footnote>
  <w:footnote w:id="3">
    <w:p w14:paraId="7FF9BFAF" w14:textId="74F5081F" w:rsidR="00DB0F81" w:rsidRPr="00026323" w:rsidRDefault="00DB0F81" w:rsidP="00D21E22">
      <w:pPr>
        <w:pStyle w:val="NormalWeb"/>
        <w:spacing w:before="0" w:beforeAutospacing="0" w:after="0" w:afterAutospacing="0"/>
        <w:rPr>
          <w:sz w:val="20"/>
          <w:szCs w:val="20"/>
        </w:rPr>
      </w:pPr>
      <w:r w:rsidRPr="00026323">
        <w:rPr>
          <w:rStyle w:val="FootnoteReference"/>
          <w:sz w:val="20"/>
          <w:szCs w:val="20"/>
        </w:rPr>
        <w:footnoteRef/>
      </w:r>
      <w:r w:rsidRPr="00026323">
        <w:rPr>
          <w:sz w:val="20"/>
          <w:szCs w:val="20"/>
        </w:rPr>
        <w:t xml:space="preserve"> A/HRC/22/17/Add.4, in particular its para. 29.</w:t>
      </w:r>
    </w:p>
  </w:footnote>
  <w:footnote w:id="4">
    <w:p w14:paraId="20B527F7" w14:textId="77777777" w:rsidR="00D21E22" w:rsidRPr="00026323" w:rsidRDefault="00D21E22" w:rsidP="00D21E22">
      <w:pPr>
        <w:pStyle w:val="FootnoteText"/>
        <w:rPr>
          <w:rFonts w:ascii="Times New Roman" w:hAnsi="Times New Roman" w:cs="Times New Roman"/>
        </w:rPr>
      </w:pPr>
      <w:r w:rsidRPr="00026323">
        <w:rPr>
          <w:rStyle w:val="FootnoteReference"/>
          <w:rFonts w:ascii="Times New Roman" w:hAnsi="Times New Roman" w:cs="Times New Roman"/>
        </w:rPr>
        <w:footnoteRef/>
      </w:r>
      <w:r w:rsidRPr="00026323">
        <w:rPr>
          <w:rFonts w:ascii="Times New Roman" w:hAnsi="Times New Roman" w:cs="Times New Roman"/>
        </w:rPr>
        <w:t xml:space="preserve"> Parallel but complementary to the UNGPs, different interest groups have also developed guidance for the ICT sector, largely aligned with the Guiding Principles in their overall approach and expectations of companies. For example, the multi-stakeholder Global Network Initiative, an initiative that counts Facebook as a member, has adopted Principles on Freedom of Expression and Privacy, addressing some of the most salient human rights risks posed by the activities of ICT companies. </w:t>
      </w:r>
      <w:r w:rsidRPr="00026323">
        <w:rPr>
          <w:rFonts w:ascii="Times New Roman" w:hAnsi="Times New Roman" w:cs="Times New Roman"/>
          <w:i/>
          <w:iCs/>
        </w:rPr>
        <w:t>See</w:t>
      </w:r>
      <w:r w:rsidRPr="00026323">
        <w:rPr>
          <w:rFonts w:ascii="Times New Roman" w:hAnsi="Times New Roman" w:cs="Times New Roman"/>
        </w:rPr>
        <w:t xml:space="preserve"> Global Network Initiative, ‘Principles on Freedom of Expression and Privacy’, available at: </w:t>
      </w:r>
      <w:hyperlink r:id="rId2" w:history="1">
        <w:r w:rsidRPr="00026323">
          <w:rPr>
            <w:rStyle w:val="Hyperlink"/>
            <w:rFonts w:ascii="Times New Roman" w:hAnsi="Times New Roman" w:cs="Times New Roman"/>
          </w:rPr>
          <w:t>http://globalnetworkinitiative.org/principles/index.php</w:t>
        </w:r>
      </w:hyperlink>
      <w:r w:rsidRPr="00026323">
        <w:rPr>
          <w:rFonts w:ascii="Times New Roman" w:hAnsi="Times New Roman" w:cs="Times New Roman"/>
        </w:rPr>
        <w:t>.</w:t>
      </w:r>
    </w:p>
  </w:footnote>
  <w:footnote w:id="5">
    <w:p w14:paraId="60CAE74D" w14:textId="77777777" w:rsidR="00D21E22" w:rsidRPr="00026323" w:rsidRDefault="00D21E22" w:rsidP="00D21E22">
      <w:pPr>
        <w:pStyle w:val="FootnoteText"/>
        <w:rPr>
          <w:rFonts w:ascii="Times New Roman" w:hAnsi="Times New Roman" w:cs="Times New Roman"/>
        </w:rPr>
      </w:pPr>
      <w:r w:rsidRPr="00026323">
        <w:rPr>
          <w:rStyle w:val="FootnoteReference"/>
          <w:rFonts w:ascii="Times New Roman" w:hAnsi="Times New Roman" w:cs="Times New Roman"/>
        </w:rPr>
        <w:footnoteRef/>
      </w:r>
      <w:r w:rsidRPr="00026323">
        <w:rPr>
          <w:rFonts w:ascii="Times New Roman" w:hAnsi="Times New Roman" w:cs="Times New Roman"/>
        </w:rPr>
        <w:t xml:space="preserve"> A/HRC/17/4. </w:t>
      </w:r>
    </w:p>
  </w:footnote>
  <w:footnote w:id="6">
    <w:p w14:paraId="63185421" w14:textId="77777777" w:rsidR="00D21E22" w:rsidRPr="00026323" w:rsidRDefault="00D21E22" w:rsidP="00D21E22">
      <w:pPr>
        <w:pStyle w:val="p1"/>
        <w:rPr>
          <w:rFonts w:ascii="Times New Roman" w:hAnsi="Times New Roman"/>
          <w:color w:val="000000" w:themeColor="text1"/>
          <w:sz w:val="20"/>
          <w:szCs w:val="20"/>
        </w:rPr>
      </w:pPr>
      <w:r w:rsidRPr="00026323">
        <w:rPr>
          <w:rStyle w:val="FootnoteReference"/>
          <w:rFonts w:ascii="Times New Roman" w:hAnsi="Times New Roman"/>
          <w:color w:val="000000" w:themeColor="text1"/>
          <w:sz w:val="20"/>
          <w:szCs w:val="20"/>
        </w:rPr>
        <w:footnoteRef/>
      </w:r>
      <w:r w:rsidRPr="00026323">
        <w:rPr>
          <w:rFonts w:ascii="Times New Roman" w:hAnsi="Times New Roman"/>
          <w:color w:val="000000" w:themeColor="text1"/>
          <w:sz w:val="20"/>
          <w:szCs w:val="20"/>
        </w:rPr>
        <w:t xml:space="preserve"> These are understood to include, at a minimum, the rights expressed in the International Bill of Human Rights and the principles concerning fundamental rights set out in the International </w:t>
      </w:r>
      <w:proofErr w:type="spellStart"/>
      <w:r w:rsidRPr="00026323">
        <w:rPr>
          <w:rFonts w:ascii="Times New Roman" w:hAnsi="Times New Roman"/>
          <w:color w:val="000000" w:themeColor="text1"/>
          <w:sz w:val="20"/>
          <w:szCs w:val="20"/>
        </w:rPr>
        <w:t>Labour</w:t>
      </w:r>
      <w:proofErr w:type="spellEnd"/>
      <w:r w:rsidRPr="00026323">
        <w:rPr>
          <w:rFonts w:ascii="Times New Roman" w:hAnsi="Times New Roman"/>
          <w:color w:val="000000" w:themeColor="text1"/>
          <w:sz w:val="20"/>
          <w:szCs w:val="20"/>
        </w:rPr>
        <w:t xml:space="preserve"> Organization’s Declaration on Fundamental Principles and Rights at Work. See UNGPs, Principle 12.</w:t>
      </w:r>
    </w:p>
  </w:footnote>
  <w:footnote w:id="7">
    <w:p w14:paraId="37606A0E" w14:textId="77777777" w:rsidR="00D21E22" w:rsidRPr="00026323" w:rsidRDefault="00D21E22" w:rsidP="00D21E22">
      <w:pPr>
        <w:pStyle w:val="FootnoteText"/>
        <w:rPr>
          <w:rFonts w:ascii="Times New Roman" w:hAnsi="Times New Roman" w:cs="Times New Roman"/>
          <w:color w:val="000000" w:themeColor="text1"/>
        </w:rPr>
      </w:pPr>
      <w:r w:rsidRPr="00026323">
        <w:rPr>
          <w:rStyle w:val="FootnoteReference"/>
          <w:rFonts w:ascii="Times New Roman" w:hAnsi="Times New Roman" w:cs="Times New Roman"/>
          <w:color w:val="000000" w:themeColor="text1"/>
        </w:rPr>
        <w:footnoteRef/>
      </w:r>
      <w:r w:rsidRPr="00026323">
        <w:rPr>
          <w:rFonts w:ascii="Times New Roman" w:hAnsi="Times New Roman" w:cs="Times New Roman"/>
          <w:color w:val="000000" w:themeColor="text1"/>
        </w:rPr>
        <w:t xml:space="preserve"> UNGPs, Principle 13. </w:t>
      </w:r>
    </w:p>
  </w:footnote>
  <w:footnote w:id="8">
    <w:p w14:paraId="08D15C6D" w14:textId="77777777" w:rsidR="00D21E22" w:rsidRPr="00026323" w:rsidRDefault="00D21E22" w:rsidP="00D21E22">
      <w:pPr>
        <w:pStyle w:val="FootnoteText"/>
        <w:rPr>
          <w:rFonts w:ascii="Times New Roman" w:hAnsi="Times New Roman" w:cs="Times New Roman"/>
        </w:rPr>
      </w:pPr>
      <w:r w:rsidRPr="00026323">
        <w:rPr>
          <w:rStyle w:val="FootnoteReference"/>
          <w:rFonts w:ascii="Times New Roman" w:hAnsi="Times New Roman" w:cs="Times New Roman"/>
        </w:rPr>
        <w:footnoteRef/>
      </w:r>
      <w:r w:rsidRPr="00026323">
        <w:rPr>
          <w:rFonts w:ascii="Times New Roman" w:hAnsi="Times New Roman" w:cs="Times New Roman"/>
        </w:rPr>
        <w:t xml:space="preserve"> </w:t>
      </w:r>
      <w:r w:rsidRPr="00026323">
        <w:rPr>
          <w:rFonts w:ascii="Times New Roman" w:hAnsi="Times New Roman" w:cs="Times New Roman"/>
          <w:color w:val="000000" w:themeColor="text1"/>
        </w:rPr>
        <w:t xml:space="preserve">See Office of the High Commissioner for Human Rights, </w:t>
      </w:r>
      <w:r w:rsidRPr="00026323">
        <w:rPr>
          <w:rFonts w:ascii="Times New Roman" w:hAnsi="Times New Roman" w:cs="Times New Roman"/>
          <w:i/>
          <w:color w:val="000000" w:themeColor="text1"/>
        </w:rPr>
        <w:t>The Corporate Responsibility to Respect Human Rights. An Interpretative Guide</w:t>
      </w:r>
      <w:r w:rsidRPr="00026323">
        <w:rPr>
          <w:rFonts w:ascii="Times New Roman" w:hAnsi="Times New Roman" w:cs="Times New Roman"/>
          <w:color w:val="000000" w:themeColor="text1"/>
        </w:rPr>
        <w:t xml:space="preserve"> (2012), at 13.</w:t>
      </w:r>
    </w:p>
  </w:footnote>
  <w:footnote w:id="9">
    <w:p w14:paraId="37D34E3A" w14:textId="77777777" w:rsidR="00D87240" w:rsidRPr="00026323" w:rsidRDefault="00D87240" w:rsidP="00D87240">
      <w:pPr>
        <w:pStyle w:val="FootnoteText"/>
        <w:rPr>
          <w:rFonts w:ascii="Times New Roman" w:hAnsi="Times New Roman" w:cs="Times New Roman"/>
          <w:lang w:val="es-ES"/>
        </w:rPr>
      </w:pPr>
      <w:r w:rsidRPr="00026323">
        <w:rPr>
          <w:rStyle w:val="FootnoteReference"/>
          <w:rFonts w:ascii="Times New Roman" w:hAnsi="Times New Roman" w:cs="Times New Roman"/>
        </w:rPr>
        <w:footnoteRef/>
      </w:r>
      <w:r w:rsidRPr="00026323">
        <w:rPr>
          <w:rFonts w:ascii="Times New Roman" w:hAnsi="Times New Roman" w:cs="Times New Roman"/>
          <w:lang w:val="es-ES"/>
        </w:rPr>
        <w:t xml:space="preserve"> A/HRC/22/17/Add.4, para. 29. </w:t>
      </w:r>
    </w:p>
  </w:footnote>
  <w:footnote w:id="10">
    <w:p w14:paraId="2A482FFA" w14:textId="77777777" w:rsidR="00D87240" w:rsidRPr="00026323" w:rsidRDefault="00D87240" w:rsidP="00D87240">
      <w:pPr>
        <w:pStyle w:val="FootnoteText"/>
        <w:rPr>
          <w:rFonts w:ascii="Times New Roman" w:hAnsi="Times New Roman" w:cs="Times New Roman"/>
        </w:rPr>
      </w:pPr>
      <w:r w:rsidRPr="00026323">
        <w:rPr>
          <w:rStyle w:val="FootnoteReference"/>
          <w:rFonts w:ascii="Times New Roman" w:hAnsi="Times New Roman" w:cs="Times New Roman"/>
        </w:rPr>
        <w:footnoteRef/>
      </w:r>
      <w:r w:rsidRPr="00026323">
        <w:rPr>
          <w:rFonts w:ascii="Times New Roman" w:hAnsi="Times New Roman" w:cs="Times New Roman"/>
        </w:rPr>
        <w:t xml:space="preserve"> See</w:t>
      </w:r>
      <w:proofErr w:type="gramStart"/>
      <w:r w:rsidRPr="00026323">
        <w:rPr>
          <w:rFonts w:ascii="Times New Roman" w:hAnsi="Times New Roman" w:cs="Times New Roman"/>
        </w:rPr>
        <w:t>, in particular, A/HRC/38/35</w:t>
      </w:r>
      <w:proofErr w:type="gramEnd"/>
      <w:r w:rsidRPr="00026323">
        <w:rPr>
          <w:rFonts w:ascii="Times New Roman" w:hAnsi="Times New Roman" w:cs="Times New Roman"/>
        </w:rPr>
        <w:t xml:space="preserve">, A/HRC/35/22 and A/HRC/32/38.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910B3"/>
    <w:multiLevelType w:val="multilevel"/>
    <w:tmpl w:val="C0D0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124F6F"/>
    <w:multiLevelType w:val="hybridMultilevel"/>
    <w:tmpl w:val="F51CD802"/>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 w15:restartNumberingAfterBreak="0">
    <w:nsid w:val="55C47726"/>
    <w:multiLevelType w:val="hybridMultilevel"/>
    <w:tmpl w:val="2E002440"/>
    <w:lvl w:ilvl="0" w:tplc="0809000F">
      <w:start w:val="1"/>
      <w:numFmt w:val="decimal"/>
      <w:lvlText w:val="%1."/>
      <w:lvlJc w:val="left"/>
      <w:pPr>
        <w:ind w:left="984" w:hanging="360"/>
      </w:pPr>
      <w:rPr>
        <w:rFonts w:ascii="Times New Roman" w:hAnsi="Times New Roman" w:hint="default"/>
        <w:color w:val="auto"/>
      </w:rPr>
    </w:lvl>
    <w:lvl w:ilvl="1" w:tplc="08090019">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3" w15:restartNumberingAfterBreak="0">
    <w:nsid w:val="5A0E0DCF"/>
    <w:multiLevelType w:val="multilevel"/>
    <w:tmpl w:val="E64A3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023D73"/>
    <w:multiLevelType w:val="hybridMultilevel"/>
    <w:tmpl w:val="1D0A82DA"/>
    <w:lvl w:ilvl="0" w:tplc="57D269DA">
      <w:start w:val="1"/>
      <w:numFmt w:val="decimal"/>
      <w:lvlText w:val="%1."/>
      <w:lvlJc w:val="left"/>
      <w:pPr>
        <w:ind w:left="720" w:hanging="360"/>
      </w:pPr>
      <w:rPr>
        <w:rFonts w:ascii="Times New Roman" w:hAnsi="Times New Roman" w:cs="Times New Roman"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165F6B"/>
    <w:multiLevelType w:val="multilevel"/>
    <w:tmpl w:val="89DEA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94"/>
    <w:rsid w:val="00002E89"/>
    <w:rsid w:val="00026323"/>
    <w:rsid w:val="000726F2"/>
    <w:rsid w:val="00130F11"/>
    <w:rsid w:val="001960F6"/>
    <w:rsid w:val="001D3BC8"/>
    <w:rsid w:val="002944E4"/>
    <w:rsid w:val="00350665"/>
    <w:rsid w:val="003A6D6E"/>
    <w:rsid w:val="003B2C30"/>
    <w:rsid w:val="00695054"/>
    <w:rsid w:val="00702E7D"/>
    <w:rsid w:val="00761BCC"/>
    <w:rsid w:val="007625B6"/>
    <w:rsid w:val="008178DF"/>
    <w:rsid w:val="009757E4"/>
    <w:rsid w:val="00991F31"/>
    <w:rsid w:val="00A64594"/>
    <w:rsid w:val="00AA6822"/>
    <w:rsid w:val="00AF47D1"/>
    <w:rsid w:val="00D13A2C"/>
    <w:rsid w:val="00D21E22"/>
    <w:rsid w:val="00D87240"/>
    <w:rsid w:val="00DB0F81"/>
    <w:rsid w:val="00E346CA"/>
    <w:rsid w:val="00E630A3"/>
    <w:rsid w:val="00E91ED4"/>
    <w:rsid w:val="00F9350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4326"/>
  <w14:defaultImageDpi w14:val="32767"/>
  <w15:chartTrackingRefBased/>
  <w15:docId w15:val="{191F2E9E-88D9-AC45-9965-33A13218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m5">
    <w:name w:val="_98m5"/>
    <w:basedOn w:val="Normal"/>
    <w:rsid w:val="00A64594"/>
    <w:pPr>
      <w:spacing w:before="100" w:beforeAutospacing="1" w:after="100" w:afterAutospacing="1"/>
    </w:pPr>
    <w:rPr>
      <w:rFonts w:ascii="Times New Roman" w:eastAsia="Times New Roman" w:hAnsi="Times New Roman" w:cs="Times New Roman"/>
      <w:lang w:eastAsia="en-GB" w:bidi="he-IL"/>
    </w:rPr>
  </w:style>
  <w:style w:type="character" w:customStyle="1" w:styleId="apple-converted-space">
    <w:name w:val="apple-converted-space"/>
    <w:basedOn w:val="DefaultParagraphFont"/>
    <w:rsid w:val="00A64594"/>
  </w:style>
  <w:style w:type="character" w:styleId="Hyperlink">
    <w:name w:val="Hyperlink"/>
    <w:basedOn w:val="DefaultParagraphFont"/>
    <w:uiPriority w:val="99"/>
    <w:unhideWhenUsed/>
    <w:rsid w:val="00A64594"/>
    <w:rPr>
      <w:color w:val="0000FF"/>
      <w:u w:val="single"/>
    </w:rPr>
  </w:style>
  <w:style w:type="paragraph" w:styleId="ListParagraph">
    <w:name w:val="List Paragraph"/>
    <w:basedOn w:val="Normal"/>
    <w:uiPriority w:val="34"/>
    <w:qFormat/>
    <w:rsid w:val="00702E7D"/>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unhideWhenUsed/>
    <w:rsid w:val="00002E89"/>
    <w:pPr>
      <w:spacing w:before="100" w:beforeAutospacing="1" w:after="100" w:afterAutospacing="1"/>
    </w:pPr>
    <w:rPr>
      <w:rFonts w:ascii="Times New Roman" w:eastAsia="Times New Roman" w:hAnsi="Times New Roman" w:cs="Times New Roman"/>
      <w:lang w:eastAsia="en-GB" w:bidi="he-IL"/>
    </w:rPr>
  </w:style>
  <w:style w:type="paragraph" w:styleId="FootnoteText">
    <w:name w:val="footnote text"/>
    <w:aliases w:val="5_G,Footnote Text Char1,Footnote Text Char Char,Footnote Text Char1 Char Char,Footnote Text Char Char Char Char,Footnote Text Char Char1,FA,FA Fußnotentext,Note de bas de page Car Car,Footnote Text Char3,Text pozn. pod čarou Char,Footnotes"/>
    <w:basedOn w:val="Normal"/>
    <w:link w:val="FootnoteTextChar"/>
    <w:unhideWhenUsed/>
    <w:qFormat/>
    <w:rsid w:val="00DB0F81"/>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 Char1 Char,FA Char,FA Fußnotentext Char,Note de bas de page Car Car Char"/>
    <w:basedOn w:val="DefaultParagraphFont"/>
    <w:link w:val="FootnoteText"/>
    <w:rsid w:val="00DB0F81"/>
    <w:rPr>
      <w:sz w:val="20"/>
      <w:szCs w:val="20"/>
    </w:rPr>
  </w:style>
  <w:style w:type="character" w:styleId="FootnoteReference">
    <w:name w:val="footnote reference"/>
    <w:aliases w:val="4_G,a Footnote Reference,FZ,Appel note de bas de page,Footnotes refss,Footnote Ref,16 Point,Superscript 6 Point,Appel note de bas de p.,Footnote Refernece,Footnote number,ftref,Footnote text,Style 10,Fago Fu?notenzeichen,Ref,ftref1,f"/>
    <w:basedOn w:val="DefaultParagraphFont"/>
    <w:link w:val="BVIfnr"/>
    <w:unhideWhenUsed/>
    <w:qFormat/>
    <w:rsid w:val="00DB0F81"/>
    <w:rPr>
      <w:vertAlign w:val="superscript"/>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E91ED4"/>
    <w:pPr>
      <w:spacing w:after="160" w:line="240" w:lineRule="exact"/>
      <w:jc w:val="both"/>
    </w:pPr>
    <w:rPr>
      <w:vertAlign w:val="superscript"/>
    </w:rPr>
  </w:style>
  <w:style w:type="character" w:styleId="CommentReference">
    <w:name w:val="annotation reference"/>
    <w:basedOn w:val="DefaultParagraphFont"/>
    <w:uiPriority w:val="99"/>
    <w:semiHidden/>
    <w:unhideWhenUsed/>
    <w:rsid w:val="00E91ED4"/>
    <w:rPr>
      <w:sz w:val="18"/>
      <w:szCs w:val="18"/>
    </w:rPr>
  </w:style>
  <w:style w:type="paragraph" w:styleId="CommentText">
    <w:name w:val="annotation text"/>
    <w:basedOn w:val="Normal"/>
    <w:link w:val="CommentTextChar"/>
    <w:uiPriority w:val="99"/>
    <w:unhideWhenUsed/>
    <w:rsid w:val="00E91ED4"/>
    <w:rPr>
      <w:rFonts w:ascii="Times New Roman" w:eastAsia="Times New Roman" w:hAnsi="Times New Roman" w:cs="Times New Roman"/>
      <w:lang w:val="en-US"/>
    </w:rPr>
  </w:style>
  <w:style w:type="character" w:customStyle="1" w:styleId="CommentTextChar">
    <w:name w:val="Comment Text Char"/>
    <w:basedOn w:val="DefaultParagraphFont"/>
    <w:link w:val="CommentText"/>
    <w:uiPriority w:val="99"/>
    <w:rsid w:val="00E91ED4"/>
    <w:rPr>
      <w:rFonts w:ascii="Times New Roman" w:eastAsia="Times New Roman" w:hAnsi="Times New Roman" w:cs="Times New Roman"/>
      <w:lang w:val="en-US"/>
    </w:rPr>
  </w:style>
  <w:style w:type="paragraph" w:customStyle="1" w:styleId="p1">
    <w:name w:val="p1"/>
    <w:basedOn w:val="Normal"/>
    <w:rsid w:val="00D21E22"/>
    <w:rPr>
      <w:rFonts w:ascii="Helvetica" w:hAnsi="Helvetica" w:cs="Times New Roman"/>
      <w:sz w:val="18"/>
      <w:szCs w:val="18"/>
      <w:lang w:val="en-US"/>
    </w:rPr>
  </w:style>
  <w:style w:type="character" w:customStyle="1" w:styleId="h2">
    <w:name w:val="h2"/>
    <w:basedOn w:val="DefaultParagraphFont"/>
    <w:rsid w:val="007625B6"/>
  </w:style>
  <w:style w:type="character" w:styleId="UnresolvedMention">
    <w:name w:val="Unresolved Mention"/>
    <w:basedOn w:val="DefaultParagraphFont"/>
    <w:uiPriority w:val="99"/>
    <w:rsid w:val="007625B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D3BC8"/>
    <w:rPr>
      <w:rFonts w:asciiTheme="minorHAnsi" w:eastAsiaTheme="minorHAnsi" w:hAnsiTheme="minorHAnsi" w:cstheme="minorBidi"/>
      <w:b/>
      <w:bCs/>
      <w:sz w:val="20"/>
      <w:szCs w:val="20"/>
      <w:lang w:val="en-GB"/>
    </w:rPr>
  </w:style>
  <w:style w:type="character" w:customStyle="1" w:styleId="CommentSubjectChar">
    <w:name w:val="Comment Subject Char"/>
    <w:basedOn w:val="CommentTextChar"/>
    <w:link w:val="CommentSubject"/>
    <w:uiPriority w:val="99"/>
    <w:semiHidden/>
    <w:rsid w:val="001D3BC8"/>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6015">
      <w:bodyDiv w:val="1"/>
      <w:marLeft w:val="0"/>
      <w:marRight w:val="0"/>
      <w:marTop w:val="0"/>
      <w:marBottom w:val="0"/>
      <w:divBdr>
        <w:top w:val="none" w:sz="0" w:space="0" w:color="auto"/>
        <w:left w:val="none" w:sz="0" w:space="0" w:color="auto"/>
        <w:bottom w:val="none" w:sz="0" w:space="0" w:color="auto"/>
        <w:right w:val="none" w:sz="0" w:space="0" w:color="auto"/>
      </w:divBdr>
      <w:divsChild>
        <w:div w:id="1445153671">
          <w:marLeft w:val="0"/>
          <w:marRight w:val="0"/>
          <w:marTop w:val="0"/>
          <w:marBottom w:val="0"/>
          <w:divBdr>
            <w:top w:val="none" w:sz="0" w:space="0" w:color="auto"/>
            <w:left w:val="none" w:sz="0" w:space="0" w:color="auto"/>
            <w:bottom w:val="none" w:sz="0" w:space="0" w:color="auto"/>
            <w:right w:val="none" w:sz="0" w:space="0" w:color="auto"/>
          </w:divBdr>
          <w:divsChild>
            <w:div w:id="1395663776">
              <w:marLeft w:val="0"/>
              <w:marRight w:val="0"/>
              <w:marTop w:val="0"/>
              <w:marBottom w:val="0"/>
              <w:divBdr>
                <w:top w:val="none" w:sz="0" w:space="0" w:color="auto"/>
                <w:left w:val="none" w:sz="0" w:space="0" w:color="auto"/>
                <w:bottom w:val="none" w:sz="0" w:space="0" w:color="auto"/>
                <w:right w:val="none" w:sz="0" w:space="0" w:color="auto"/>
              </w:divBdr>
              <w:divsChild>
                <w:div w:id="19022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6515">
      <w:bodyDiv w:val="1"/>
      <w:marLeft w:val="0"/>
      <w:marRight w:val="0"/>
      <w:marTop w:val="0"/>
      <w:marBottom w:val="0"/>
      <w:divBdr>
        <w:top w:val="none" w:sz="0" w:space="0" w:color="auto"/>
        <w:left w:val="none" w:sz="0" w:space="0" w:color="auto"/>
        <w:bottom w:val="none" w:sz="0" w:space="0" w:color="auto"/>
        <w:right w:val="none" w:sz="0" w:space="0" w:color="auto"/>
      </w:divBdr>
      <w:divsChild>
        <w:div w:id="613025851">
          <w:marLeft w:val="0"/>
          <w:marRight w:val="0"/>
          <w:marTop w:val="0"/>
          <w:marBottom w:val="0"/>
          <w:divBdr>
            <w:top w:val="none" w:sz="0" w:space="0" w:color="auto"/>
            <w:left w:val="none" w:sz="0" w:space="0" w:color="auto"/>
            <w:bottom w:val="none" w:sz="0" w:space="0" w:color="auto"/>
            <w:right w:val="none" w:sz="0" w:space="0" w:color="auto"/>
          </w:divBdr>
          <w:divsChild>
            <w:div w:id="2026201756">
              <w:marLeft w:val="0"/>
              <w:marRight w:val="0"/>
              <w:marTop w:val="0"/>
              <w:marBottom w:val="0"/>
              <w:divBdr>
                <w:top w:val="none" w:sz="0" w:space="0" w:color="auto"/>
                <w:left w:val="none" w:sz="0" w:space="0" w:color="auto"/>
                <w:bottom w:val="none" w:sz="0" w:space="0" w:color="auto"/>
                <w:right w:val="none" w:sz="0" w:space="0" w:color="auto"/>
              </w:divBdr>
              <w:divsChild>
                <w:div w:id="20428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24345">
          <w:marLeft w:val="0"/>
          <w:marRight w:val="0"/>
          <w:marTop w:val="0"/>
          <w:marBottom w:val="0"/>
          <w:divBdr>
            <w:top w:val="none" w:sz="0" w:space="0" w:color="auto"/>
            <w:left w:val="none" w:sz="0" w:space="0" w:color="auto"/>
            <w:bottom w:val="none" w:sz="0" w:space="0" w:color="auto"/>
            <w:right w:val="none" w:sz="0" w:space="0" w:color="auto"/>
          </w:divBdr>
          <w:divsChild>
            <w:div w:id="1549340393">
              <w:marLeft w:val="0"/>
              <w:marRight w:val="0"/>
              <w:marTop w:val="0"/>
              <w:marBottom w:val="0"/>
              <w:divBdr>
                <w:top w:val="none" w:sz="0" w:space="0" w:color="auto"/>
                <w:left w:val="none" w:sz="0" w:space="0" w:color="auto"/>
                <w:bottom w:val="none" w:sz="0" w:space="0" w:color="auto"/>
                <w:right w:val="none" w:sz="0" w:space="0" w:color="auto"/>
              </w:divBdr>
              <w:divsChild>
                <w:div w:id="118077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2568">
      <w:bodyDiv w:val="1"/>
      <w:marLeft w:val="0"/>
      <w:marRight w:val="0"/>
      <w:marTop w:val="0"/>
      <w:marBottom w:val="0"/>
      <w:divBdr>
        <w:top w:val="none" w:sz="0" w:space="0" w:color="auto"/>
        <w:left w:val="none" w:sz="0" w:space="0" w:color="auto"/>
        <w:bottom w:val="none" w:sz="0" w:space="0" w:color="auto"/>
        <w:right w:val="none" w:sz="0" w:space="0" w:color="auto"/>
      </w:divBdr>
      <w:divsChild>
        <w:div w:id="1125007138">
          <w:marLeft w:val="0"/>
          <w:marRight w:val="0"/>
          <w:marTop w:val="0"/>
          <w:marBottom w:val="0"/>
          <w:divBdr>
            <w:top w:val="none" w:sz="0" w:space="0" w:color="auto"/>
            <w:left w:val="none" w:sz="0" w:space="0" w:color="auto"/>
            <w:bottom w:val="none" w:sz="0" w:space="0" w:color="auto"/>
            <w:right w:val="none" w:sz="0" w:space="0" w:color="auto"/>
          </w:divBdr>
          <w:divsChild>
            <w:div w:id="759564390">
              <w:marLeft w:val="0"/>
              <w:marRight w:val="0"/>
              <w:marTop w:val="0"/>
              <w:marBottom w:val="0"/>
              <w:divBdr>
                <w:top w:val="none" w:sz="0" w:space="0" w:color="auto"/>
                <w:left w:val="none" w:sz="0" w:space="0" w:color="auto"/>
                <w:bottom w:val="none" w:sz="0" w:space="0" w:color="auto"/>
                <w:right w:val="none" w:sz="0" w:space="0" w:color="auto"/>
              </w:divBdr>
              <w:divsChild>
                <w:div w:id="359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31652">
      <w:bodyDiv w:val="1"/>
      <w:marLeft w:val="0"/>
      <w:marRight w:val="0"/>
      <w:marTop w:val="0"/>
      <w:marBottom w:val="0"/>
      <w:divBdr>
        <w:top w:val="none" w:sz="0" w:space="0" w:color="auto"/>
        <w:left w:val="none" w:sz="0" w:space="0" w:color="auto"/>
        <w:bottom w:val="none" w:sz="0" w:space="0" w:color="auto"/>
        <w:right w:val="none" w:sz="0" w:space="0" w:color="auto"/>
      </w:divBdr>
      <w:divsChild>
        <w:div w:id="1178883564">
          <w:marLeft w:val="0"/>
          <w:marRight w:val="0"/>
          <w:marTop w:val="0"/>
          <w:marBottom w:val="0"/>
          <w:divBdr>
            <w:top w:val="none" w:sz="0" w:space="0" w:color="auto"/>
            <w:left w:val="none" w:sz="0" w:space="0" w:color="auto"/>
            <w:bottom w:val="none" w:sz="0" w:space="0" w:color="auto"/>
            <w:right w:val="none" w:sz="0" w:space="0" w:color="auto"/>
          </w:divBdr>
          <w:divsChild>
            <w:div w:id="1930000915">
              <w:marLeft w:val="0"/>
              <w:marRight w:val="0"/>
              <w:marTop w:val="0"/>
              <w:marBottom w:val="0"/>
              <w:divBdr>
                <w:top w:val="none" w:sz="0" w:space="0" w:color="auto"/>
                <w:left w:val="none" w:sz="0" w:space="0" w:color="auto"/>
                <w:bottom w:val="none" w:sz="0" w:space="0" w:color="auto"/>
                <w:right w:val="none" w:sz="0" w:space="0" w:color="auto"/>
              </w:divBdr>
              <w:divsChild>
                <w:div w:id="15482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1341">
      <w:bodyDiv w:val="1"/>
      <w:marLeft w:val="0"/>
      <w:marRight w:val="0"/>
      <w:marTop w:val="0"/>
      <w:marBottom w:val="0"/>
      <w:divBdr>
        <w:top w:val="none" w:sz="0" w:space="0" w:color="auto"/>
        <w:left w:val="none" w:sz="0" w:space="0" w:color="auto"/>
        <w:bottom w:val="none" w:sz="0" w:space="0" w:color="auto"/>
        <w:right w:val="none" w:sz="0" w:space="0" w:color="auto"/>
      </w:divBdr>
      <w:divsChild>
        <w:div w:id="809129962">
          <w:marLeft w:val="0"/>
          <w:marRight w:val="0"/>
          <w:marTop w:val="0"/>
          <w:marBottom w:val="0"/>
          <w:divBdr>
            <w:top w:val="none" w:sz="0" w:space="0" w:color="auto"/>
            <w:left w:val="none" w:sz="0" w:space="0" w:color="auto"/>
            <w:bottom w:val="none" w:sz="0" w:space="0" w:color="auto"/>
            <w:right w:val="none" w:sz="0" w:space="0" w:color="auto"/>
          </w:divBdr>
          <w:divsChild>
            <w:div w:id="2004620277">
              <w:marLeft w:val="0"/>
              <w:marRight w:val="0"/>
              <w:marTop w:val="0"/>
              <w:marBottom w:val="0"/>
              <w:divBdr>
                <w:top w:val="none" w:sz="0" w:space="0" w:color="auto"/>
                <w:left w:val="none" w:sz="0" w:space="0" w:color="auto"/>
                <w:bottom w:val="none" w:sz="0" w:space="0" w:color="auto"/>
                <w:right w:val="none" w:sz="0" w:space="0" w:color="auto"/>
              </w:divBdr>
              <w:divsChild>
                <w:div w:id="12843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50736">
      <w:bodyDiv w:val="1"/>
      <w:marLeft w:val="0"/>
      <w:marRight w:val="0"/>
      <w:marTop w:val="0"/>
      <w:marBottom w:val="0"/>
      <w:divBdr>
        <w:top w:val="none" w:sz="0" w:space="0" w:color="auto"/>
        <w:left w:val="none" w:sz="0" w:space="0" w:color="auto"/>
        <w:bottom w:val="none" w:sz="0" w:space="0" w:color="auto"/>
        <w:right w:val="none" w:sz="0" w:space="0" w:color="auto"/>
      </w:divBdr>
    </w:div>
    <w:div w:id="1698460211">
      <w:bodyDiv w:val="1"/>
      <w:marLeft w:val="0"/>
      <w:marRight w:val="0"/>
      <w:marTop w:val="0"/>
      <w:marBottom w:val="0"/>
      <w:divBdr>
        <w:top w:val="none" w:sz="0" w:space="0" w:color="auto"/>
        <w:left w:val="none" w:sz="0" w:space="0" w:color="auto"/>
        <w:bottom w:val="none" w:sz="0" w:space="0" w:color="auto"/>
        <w:right w:val="none" w:sz="0" w:space="0" w:color="auto"/>
      </w:divBdr>
      <w:divsChild>
        <w:div w:id="1344741578">
          <w:marLeft w:val="0"/>
          <w:marRight w:val="0"/>
          <w:marTop w:val="0"/>
          <w:marBottom w:val="0"/>
          <w:divBdr>
            <w:top w:val="none" w:sz="0" w:space="0" w:color="auto"/>
            <w:left w:val="none" w:sz="0" w:space="0" w:color="auto"/>
            <w:bottom w:val="none" w:sz="0" w:space="0" w:color="auto"/>
            <w:right w:val="none" w:sz="0" w:space="0" w:color="auto"/>
          </w:divBdr>
          <w:divsChild>
            <w:div w:id="1083334918">
              <w:marLeft w:val="0"/>
              <w:marRight w:val="0"/>
              <w:marTop w:val="0"/>
              <w:marBottom w:val="0"/>
              <w:divBdr>
                <w:top w:val="none" w:sz="0" w:space="0" w:color="auto"/>
                <w:left w:val="none" w:sz="0" w:space="0" w:color="auto"/>
                <w:bottom w:val="none" w:sz="0" w:space="0" w:color="auto"/>
                <w:right w:val="none" w:sz="0" w:space="0" w:color="auto"/>
              </w:divBdr>
              <w:divsChild>
                <w:div w:id="14248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globalnetworkinitiative.org/principles/index.php" TargetMode="External"/><Relationship Id="rId1" Type="http://schemas.openxmlformats.org/officeDocument/2006/relationships/hyperlink" Target="https://www.ohchr.org/EN/NewsEvents/Pages/DisplayNews.aspx?LangID=E&amp;NewsID=23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CB8492-DECB-9C4A-8E49-EF1BBFF4167E}">
  <ds:schemaRefs>
    <ds:schemaRef ds:uri="http://schemas.openxmlformats.org/officeDocument/2006/bibliography"/>
  </ds:schemaRefs>
</ds:datastoreItem>
</file>

<file path=customXml/itemProps2.xml><?xml version="1.0" encoding="utf-8"?>
<ds:datastoreItem xmlns:ds="http://schemas.openxmlformats.org/officeDocument/2006/customXml" ds:itemID="{6CC9404A-21BD-48F1-B286-A55CDD42D3CC}"/>
</file>

<file path=customXml/itemProps3.xml><?xml version="1.0" encoding="utf-8"?>
<ds:datastoreItem xmlns:ds="http://schemas.openxmlformats.org/officeDocument/2006/customXml" ds:itemID="{3644B762-D83E-4FD9-B4C3-F0198D47D425}"/>
</file>

<file path=customXml/itemProps4.xml><?xml version="1.0" encoding="utf-8"?>
<ds:datastoreItem xmlns:ds="http://schemas.openxmlformats.org/officeDocument/2006/customXml" ds:itemID="{F8EE3557-C484-43C3-AAF1-F95E210B75FC}"/>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Ni Aolain</dc:creator>
  <cp:keywords/>
  <dc:description/>
  <cp:lastModifiedBy>Megan Manion</cp:lastModifiedBy>
  <cp:revision>3</cp:revision>
  <dcterms:created xsi:type="dcterms:W3CDTF">2021-05-04T19:12:00Z</dcterms:created>
  <dcterms:modified xsi:type="dcterms:W3CDTF">2021-05-04T19:13:00Z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